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83C51" w14:textId="77777777" w:rsidR="00C803E1" w:rsidRDefault="00C803E1" w:rsidP="00C803E1">
      <w:pPr>
        <w:jc w:val="center"/>
        <w:rPr>
          <w:rFonts w:ascii="Cambria" w:hAnsi="Cambria"/>
          <w:b/>
          <w:bCs/>
          <w:sz w:val="28"/>
          <w:szCs w:val="28"/>
        </w:rPr>
      </w:pPr>
    </w:p>
    <w:p w14:paraId="6EB9E258" w14:textId="19DE560F" w:rsidR="00C803E1" w:rsidRPr="00C803E1" w:rsidRDefault="00C803E1" w:rsidP="00C803E1">
      <w:pPr>
        <w:jc w:val="center"/>
        <w:rPr>
          <w:rFonts w:ascii="Cambria" w:hAnsi="Cambria"/>
          <w:b/>
          <w:bCs/>
          <w:sz w:val="28"/>
          <w:szCs w:val="28"/>
        </w:rPr>
      </w:pPr>
      <w:r w:rsidRPr="00C803E1">
        <w:rPr>
          <w:rFonts w:ascii="Cambria" w:hAnsi="Cambria"/>
          <w:b/>
          <w:bCs/>
          <w:sz w:val="28"/>
          <w:szCs w:val="28"/>
        </w:rPr>
        <w:t xml:space="preserve">Gender-Responsive Development Planning in Practice: A Case Study of </w:t>
      </w:r>
      <w:proofErr w:type="spellStart"/>
      <w:r w:rsidRPr="00C803E1">
        <w:rPr>
          <w:rFonts w:ascii="Cambria" w:hAnsi="Cambria"/>
          <w:b/>
          <w:bCs/>
          <w:sz w:val="28"/>
          <w:szCs w:val="28"/>
        </w:rPr>
        <w:t>Sirenja</w:t>
      </w:r>
      <w:proofErr w:type="spellEnd"/>
      <w:r w:rsidRPr="00C803E1">
        <w:rPr>
          <w:rFonts w:ascii="Cambria" w:hAnsi="Cambria"/>
          <w:b/>
          <w:bCs/>
          <w:sz w:val="28"/>
          <w:szCs w:val="28"/>
        </w:rPr>
        <w:t xml:space="preserve"> District, </w:t>
      </w:r>
      <w:proofErr w:type="spellStart"/>
      <w:r w:rsidRPr="00C803E1">
        <w:rPr>
          <w:rFonts w:ascii="Cambria" w:hAnsi="Cambria"/>
          <w:b/>
          <w:bCs/>
          <w:sz w:val="28"/>
          <w:szCs w:val="28"/>
        </w:rPr>
        <w:t>Donggala</w:t>
      </w:r>
      <w:proofErr w:type="spellEnd"/>
      <w:r w:rsidRPr="00C803E1">
        <w:rPr>
          <w:rFonts w:ascii="Cambria" w:hAnsi="Cambria"/>
          <w:b/>
          <w:bCs/>
          <w:sz w:val="28"/>
          <w:szCs w:val="28"/>
        </w:rPr>
        <w:t xml:space="preserve"> Regency</w:t>
      </w:r>
    </w:p>
    <w:p w14:paraId="3ADCB0AF" w14:textId="6C1C97E4" w:rsidR="000F1938" w:rsidRDefault="00000000">
      <w:pPr>
        <w:jc w:val="center"/>
        <w:rPr>
          <w:rFonts w:ascii="Lustria" w:eastAsia="Lustria" w:hAnsi="Lustria" w:cs="Lustria"/>
          <w:sz w:val="28"/>
          <w:szCs w:val="28"/>
        </w:rPr>
      </w:pPr>
      <w:r>
        <w:rPr>
          <w:rFonts w:ascii="Cambria" w:eastAsia="Cambria" w:hAnsi="Cambria" w:cs="Cambria"/>
          <w:sz w:val="28"/>
          <w:szCs w:val="28"/>
        </w:rPr>
        <w:br/>
      </w:r>
    </w:p>
    <w:p w14:paraId="3F730882" w14:textId="36D0ABFD" w:rsidR="000F1938" w:rsidRDefault="00C803E1">
      <w:pPr>
        <w:jc w:val="center"/>
        <w:rPr>
          <w:rFonts w:ascii="Lustria" w:eastAsia="Lustria" w:hAnsi="Lustria" w:cs="Lustria"/>
          <w:b/>
          <w:sz w:val="28"/>
          <w:szCs w:val="28"/>
          <w:vertAlign w:val="superscript"/>
        </w:rPr>
      </w:pPr>
      <w:r>
        <w:rPr>
          <w:rFonts w:ascii="Lustria" w:eastAsia="Lustria" w:hAnsi="Lustria" w:cs="Lustria"/>
          <w:b/>
          <w:sz w:val="28"/>
          <w:szCs w:val="28"/>
        </w:rPr>
        <w:t>Muhammad Arief</w:t>
      </w:r>
      <w:r>
        <w:rPr>
          <w:rFonts w:ascii="Lustria" w:eastAsia="Lustria" w:hAnsi="Lustria" w:cs="Lustria"/>
          <w:b/>
          <w:sz w:val="28"/>
          <w:szCs w:val="28"/>
          <w:vertAlign w:val="superscript"/>
        </w:rPr>
        <w:t>1</w:t>
      </w:r>
      <w:r>
        <w:rPr>
          <w:rFonts w:ascii="Lustria" w:eastAsia="Lustria" w:hAnsi="Lustria" w:cs="Lustria"/>
          <w:b/>
          <w:sz w:val="28"/>
          <w:szCs w:val="28"/>
        </w:rPr>
        <w:t>, M Nur Alamsyah</w:t>
      </w:r>
      <w:r>
        <w:rPr>
          <w:rFonts w:ascii="Lustria" w:eastAsia="Lustria" w:hAnsi="Lustria" w:cs="Lustria"/>
          <w:b/>
          <w:sz w:val="28"/>
          <w:szCs w:val="28"/>
          <w:vertAlign w:val="superscript"/>
        </w:rPr>
        <w:t>2</w:t>
      </w:r>
      <w:r>
        <w:rPr>
          <w:rFonts w:ascii="Lustria" w:eastAsia="Lustria" w:hAnsi="Lustria" w:cs="Lustria"/>
          <w:b/>
          <w:sz w:val="28"/>
          <w:szCs w:val="28"/>
        </w:rPr>
        <w:t>, Ritha Safithri</w:t>
      </w:r>
      <w:r>
        <w:rPr>
          <w:rFonts w:ascii="Lustria" w:eastAsia="Lustria" w:hAnsi="Lustria" w:cs="Lustria"/>
          <w:b/>
          <w:sz w:val="28"/>
          <w:szCs w:val="28"/>
          <w:vertAlign w:val="superscript"/>
        </w:rPr>
        <w:t>3</w:t>
      </w:r>
      <w:r>
        <w:rPr>
          <w:rFonts w:ascii="Lustria" w:eastAsia="Lustria" w:hAnsi="Lustria" w:cs="Lustria"/>
          <w:b/>
          <w:sz w:val="28"/>
          <w:szCs w:val="28"/>
        </w:rPr>
        <w:t>, Angga Pradana</w:t>
      </w:r>
      <w:r>
        <w:rPr>
          <w:rFonts w:ascii="Lustria" w:eastAsia="Lustria" w:hAnsi="Lustria" w:cs="Lustria"/>
          <w:b/>
          <w:sz w:val="28"/>
          <w:szCs w:val="28"/>
          <w:vertAlign w:val="superscript"/>
        </w:rPr>
        <w:t>4</w:t>
      </w:r>
      <w:r>
        <w:rPr>
          <w:rFonts w:ascii="Lustria" w:eastAsia="Lustria" w:hAnsi="Lustria" w:cs="Lustria"/>
          <w:b/>
          <w:sz w:val="28"/>
          <w:szCs w:val="28"/>
        </w:rPr>
        <w:t>, Sisrilnardi</w:t>
      </w:r>
      <w:r>
        <w:rPr>
          <w:rFonts w:ascii="Lustria" w:eastAsia="Lustria" w:hAnsi="Lustria" w:cs="Lustria"/>
          <w:b/>
          <w:sz w:val="28"/>
          <w:szCs w:val="28"/>
          <w:vertAlign w:val="superscript"/>
        </w:rPr>
        <w:t>5</w:t>
      </w:r>
    </w:p>
    <w:p w14:paraId="3B1A4263" w14:textId="5BFFE5CA" w:rsidR="000F1938" w:rsidRDefault="00000000">
      <w:pPr>
        <w:jc w:val="center"/>
        <w:rPr>
          <w:rFonts w:ascii="Lustria" w:eastAsia="Lustria" w:hAnsi="Lustria" w:cs="Lustria"/>
          <w:i/>
        </w:rPr>
      </w:pPr>
      <w:r>
        <w:rPr>
          <w:rFonts w:ascii="Lustria" w:eastAsia="Lustria" w:hAnsi="Lustria" w:cs="Lustria"/>
          <w:i/>
          <w:vertAlign w:val="superscript"/>
        </w:rPr>
        <w:t>1</w:t>
      </w:r>
      <w:r w:rsidR="00C803E1">
        <w:rPr>
          <w:rFonts w:ascii="Lustria" w:eastAsia="Lustria" w:hAnsi="Lustria" w:cs="Lustria"/>
          <w:i/>
          <w:vertAlign w:val="superscript"/>
        </w:rPr>
        <w:t>-</w:t>
      </w:r>
      <w:proofErr w:type="gramStart"/>
      <w:r w:rsidR="00C803E1">
        <w:rPr>
          <w:rFonts w:ascii="Lustria" w:eastAsia="Lustria" w:hAnsi="Lustria" w:cs="Lustria"/>
          <w:i/>
          <w:vertAlign w:val="superscript"/>
        </w:rPr>
        <w:t>5</w:t>
      </w:r>
      <w:r>
        <w:rPr>
          <w:rFonts w:ascii="Lustria" w:eastAsia="Lustria" w:hAnsi="Lustria" w:cs="Lustria"/>
          <w:i/>
          <w:vertAlign w:val="superscript"/>
        </w:rPr>
        <w:t>,</w:t>
      </w:r>
      <w:r w:rsidR="00C803E1">
        <w:rPr>
          <w:rFonts w:ascii="Lustria" w:eastAsia="Lustria" w:hAnsi="Lustria" w:cs="Lustria"/>
          <w:i/>
        </w:rPr>
        <w:t>Universitas</w:t>
      </w:r>
      <w:proofErr w:type="gramEnd"/>
      <w:r w:rsidR="00C803E1">
        <w:rPr>
          <w:rFonts w:ascii="Lustria" w:eastAsia="Lustria" w:hAnsi="Lustria" w:cs="Lustria"/>
          <w:i/>
        </w:rPr>
        <w:t xml:space="preserve"> </w:t>
      </w:r>
      <w:proofErr w:type="spellStart"/>
      <w:r w:rsidR="00C803E1">
        <w:rPr>
          <w:rFonts w:ascii="Lustria" w:eastAsia="Lustria" w:hAnsi="Lustria" w:cs="Lustria"/>
          <w:i/>
        </w:rPr>
        <w:t>Tadulako</w:t>
      </w:r>
      <w:proofErr w:type="spellEnd"/>
      <w:r>
        <w:rPr>
          <w:rFonts w:ascii="Lustria" w:eastAsia="Lustria" w:hAnsi="Lustria" w:cs="Lustria"/>
          <w:i/>
        </w:rPr>
        <w:t xml:space="preserve"> </w:t>
      </w:r>
    </w:p>
    <w:p w14:paraId="16BA6A76" w14:textId="61930FE9" w:rsidR="000F1938" w:rsidRDefault="00000000">
      <w:pPr>
        <w:rPr>
          <w:rFonts w:ascii="Lustria" w:eastAsia="Lustria" w:hAnsi="Lustria" w:cs="Lustria"/>
          <w:i/>
        </w:rPr>
      </w:pPr>
      <w:r>
        <w:rPr>
          <w:rFonts w:ascii="Lustria" w:eastAsia="Lustria" w:hAnsi="Lustria" w:cs="Lustria"/>
          <w:i/>
        </w:rPr>
        <w:t xml:space="preserve">        </w:t>
      </w:r>
    </w:p>
    <w:p w14:paraId="0892F355" w14:textId="0462320B" w:rsidR="000F1938" w:rsidRDefault="00000000">
      <w:pPr>
        <w:jc w:val="center"/>
        <w:rPr>
          <w:rFonts w:ascii="Lustria" w:eastAsia="Lustria" w:hAnsi="Lustria" w:cs="Lustria"/>
          <w:i/>
          <w:color w:val="0000FF"/>
          <w:u w:val="single"/>
        </w:rPr>
      </w:pPr>
      <w:proofErr w:type="spellStart"/>
      <w:r>
        <w:rPr>
          <w:rFonts w:ascii="Lustria" w:eastAsia="Lustria" w:hAnsi="Lustria" w:cs="Lustria"/>
          <w:i/>
        </w:rPr>
        <w:t>Coresponding</w:t>
      </w:r>
      <w:proofErr w:type="spellEnd"/>
      <w:r>
        <w:rPr>
          <w:rFonts w:ascii="Lustria" w:eastAsia="Lustria" w:hAnsi="Lustria" w:cs="Lustria"/>
          <w:i/>
        </w:rPr>
        <w:t xml:space="preserve"> author-</w:t>
      </w:r>
      <w:proofErr w:type="spellStart"/>
      <w:r w:rsidR="00E2714F">
        <w:rPr>
          <w:rFonts w:ascii="Lustria" w:eastAsia="Lustria" w:hAnsi="Lustria" w:cs="Lustria"/>
          <w:i/>
        </w:rPr>
        <w:t>g</w:t>
      </w:r>
      <w:r>
        <w:rPr>
          <w:rFonts w:ascii="Lustria" w:eastAsia="Lustria" w:hAnsi="Lustria" w:cs="Lustria"/>
          <w:i/>
        </w:rPr>
        <w:t>mail</w:t>
      </w:r>
      <w:proofErr w:type="spellEnd"/>
      <w:r>
        <w:rPr>
          <w:rFonts w:ascii="Lustria" w:eastAsia="Lustria" w:hAnsi="Lustria" w:cs="Lustria"/>
          <w:i/>
        </w:rPr>
        <w:t xml:space="preserve">: </w:t>
      </w:r>
      <w:r>
        <w:rPr>
          <w:rFonts w:ascii="Lustria" w:eastAsia="Lustria" w:hAnsi="Lustria" w:cs="Lustria"/>
          <w:b/>
          <w:i/>
        </w:rPr>
        <w:t>*</w:t>
      </w:r>
      <w:r w:rsidR="00C803E1">
        <w:rPr>
          <w:rFonts w:ascii="Lustria" w:eastAsia="Lustria" w:hAnsi="Lustria" w:cs="Lustria"/>
          <w:b/>
          <w:i/>
          <w:color w:val="0000FF"/>
          <w:u w:val="single"/>
          <w:vertAlign w:val="superscript"/>
        </w:rPr>
        <w:t xml:space="preserve">4 </w:t>
      </w:r>
      <w:r w:rsidR="00C803E1">
        <w:rPr>
          <w:rFonts w:ascii="Lustria" w:eastAsia="Lustria" w:hAnsi="Lustria" w:cs="Lustria"/>
          <w:i/>
          <w:color w:val="0000FF"/>
          <w:u w:val="single"/>
        </w:rPr>
        <w:t>anggadana93@gmail.com</w:t>
      </w:r>
    </w:p>
    <w:p w14:paraId="088DBBC7" w14:textId="77777777" w:rsidR="000F1938" w:rsidRDefault="000F1938">
      <w:pPr>
        <w:jc w:val="both"/>
        <w:rPr>
          <w:rFonts w:ascii="Lustria" w:eastAsia="Lustria" w:hAnsi="Lustria" w:cs="Lustria"/>
          <w:b/>
          <w:sz w:val="16"/>
          <w:szCs w:val="16"/>
        </w:rPr>
      </w:pPr>
    </w:p>
    <w:p w14:paraId="4069881A" w14:textId="77777777" w:rsidR="000F1938" w:rsidRDefault="00000000">
      <w:pPr>
        <w:jc w:val="center"/>
        <w:rPr>
          <w:rFonts w:ascii="Lustria" w:eastAsia="Lustria" w:hAnsi="Lustria" w:cs="Lustria"/>
          <w:b/>
        </w:rPr>
      </w:pPr>
      <w:r>
        <w:rPr>
          <w:rFonts w:ascii="Lustria" w:eastAsia="Lustria" w:hAnsi="Lustria" w:cs="Lustria"/>
          <w:b/>
        </w:rPr>
        <w:t>abstract</w:t>
      </w:r>
    </w:p>
    <w:p w14:paraId="270B2664" w14:textId="323931C7" w:rsidR="002D5427" w:rsidRPr="002D5427" w:rsidRDefault="002D5427" w:rsidP="002D5427">
      <w:pPr>
        <w:pStyle w:val="NormalWeb"/>
        <w:jc w:val="both"/>
        <w:rPr>
          <w:rFonts w:ascii="Lustria" w:eastAsia="Lustria" w:hAnsi="Lustria" w:cs="Lustria"/>
        </w:rPr>
      </w:pPr>
      <w:r w:rsidRPr="002D5427">
        <w:rPr>
          <w:rStyle w:val="citation-21"/>
          <w:rFonts w:ascii="Georgia" w:hAnsi="Georgia"/>
          <w:color w:val="000000" w:themeColor="text1"/>
        </w:rPr>
        <w:t>The implementation of Gender-Responsive Development Planning (PPRG) is a national mandate to achieve equitable development benefits, but its implementation at the sub-district level often faces obstacles</w:t>
      </w:r>
      <w:r w:rsidRPr="002D5427">
        <w:rPr>
          <w:rFonts w:ascii="Georgia" w:hAnsi="Georgia"/>
          <w:color w:val="000000" w:themeColor="text1"/>
        </w:rPr>
        <w:t xml:space="preserve">. </w:t>
      </w:r>
      <w:r w:rsidRPr="002D5427">
        <w:rPr>
          <w:rStyle w:val="citation-20"/>
          <w:rFonts w:ascii="Georgia" w:hAnsi="Georgia"/>
          <w:color w:val="000000" w:themeColor="text1"/>
        </w:rPr>
        <w:t xml:space="preserve">This study aims to analyze the implementation of PPRG in </w:t>
      </w:r>
      <w:proofErr w:type="spellStart"/>
      <w:r w:rsidRPr="002D5427">
        <w:rPr>
          <w:rStyle w:val="citation-20"/>
          <w:rFonts w:ascii="Georgia" w:hAnsi="Georgia"/>
          <w:color w:val="000000" w:themeColor="text1"/>
        </w:rPr>
        <w:t>Sirenza</w:t>
      </w:r>
      <w:proofErr w:type="spellEnd"/>
      <w:r w:rsidRPr="002D5427">
        <w:rPr>
          <w:rStyle w:val="citation-20"/>
          <w:rFonts w:ascii="Georgia" w:hAnsi="Georgia"/>
          <w:color w:val="000000" w:themeColor="text1"/>
        </w:rPr>
        <w:t xml:space="preserve"> District, </w:t>
      </w:r>
      <w:proofErr w:type="spellStart"/>
      <w:r w:rsidRPr="002D5427">
        <w:rPr>
          <w:rStyle w:val="citation-20"/>
          <w:rFonts w:ascii="Georgia" w:hAnsi="Georgia"/>
          <w:color w:val="000000" w:themeColor="text1"/>
        </w:rPr>
        <w:t>Donggala</w:t>
      </w:r>
      <w:proofErr w:type="spellEnd"/>
      <w:r w:rsidRPr="002D5427">
        <w:rPr>
          <w:rStyle w:val="citation-20"/>
          <w:rFonts w:ascii="Georgia" w:hAnsi="Georgia"/>
          <w:color w:val="000000" w:themeColor="text1"/>
        </w:rPr>
        <w:t xml:space="preserve"> Regency, based on the regulatory framework of </w:t>
      </w:r>
      <w:proofErr w:type="spellStart"/>
      <w:r w:rsidRPr="002D5427">
        <w:rPr>
          <w:rStyle w:val="citation-20"/>
          <w:rFonts w:ascii="Georgia" w:hAnsi="Georgia"/>
          <w:color w:val="000000" w:themeColor="text1"/>
        </w:rPr>
        <w:t>Perbup</w:t>
      </w:r>
      <w:proofErr w:type="spellEnd"/>
      <w:r w:rsidRPr="002D5427">
        <w:rPr>
          <w:rStyle w:val="citation-20"/>
          <w:rFonts w:ascii="Georgia" w:hAnsi="Georgia"/>
          <w:color w:val="000000" w:themeColor="text1"/>
        </w:rPr>
        <w:t xml:space="preserve"> </w:t>
      </w:r>
      <w:proofErr w:type="spellStart"/>
      <w:r w:rsidRPr="002D5427">
        <w:rPr>
          <w:rStyle w:val="citation-20"/>
          <w:rFonts w:ascii="Georgia" w:hAnsi="Georgia"/>
          <w:color w:val="000000" w:themeColor="text1"/>
        </w:rPr>
        <w:t>Donggala</w:t>
      </w:r>
      <w:proofErr w:type="spellEnd"/>
      <w:r w:rsidRPr="002D5427">
        <w:rPr>
          <w:rStyle w:val="citation-20"/>
          <w:rFonts w:ascii="Georgia" w:hAnsi="Georgia"/>
          <w:color w:val="000000" w:themeColor="text1"/>
        </w:rPr>
        <w:t xml:space="preserve"> No. 13 of 2024, as well as examine the institutional factors that affect it. </w:t>
      </w:r>
      <w:r w:rsidRPr="002D5427">
        <w:rPr>
          <w:rStyle w:val="citation-19"/>
          <w:rFonts w:ascii="Georgia" w:hAnsi="Georgia"/>
          <w:color w:val="000000" w:themeColor="text1"/>
        </w:rPr>
        <w:t>This qualitative study uses Focus Group Discussion (FGD), in-depth interviews, and analysis of regional planning documents</w:t>
      </w:r>
      <w:r w:rsidRPr="002D5427">
        <w:rPr>
          <w:rFonts w:ascii="Georgia" w:hAnsi="Georgia"/>
          <w:color w:val="000000" w:themeColor="text1"/>
        </w:rPr>
        <w:t xml:space="preserve">. </w:t>
      </w:r>
      <w:r w:rsidRPr="002D5427">
        <w:rPr>
          <w:rStyle w:val="citation-18"/>
          <w:rFonts w:ascii="Georgia" w:hAnsi="Georgia"/>
          <w:color w:val="000000" w:themeColor="text1"/>
        </w:rPr>
        <w:t xml:space="preserve">The data were analyzed thematically using the theoretical framework of gender machinery, gender planning, and governance. </w:t>
      </w:r>
      <w:r w:rsidRPr="002D5427">
        <w:rPr>
          <w:rStyle w:val="citation-17"/>
          <w:rFonts w:ascii="Georgia" w:hAnsi="Georgia"/>
          <w:color w:val="000000" w:themeColor="text1"/>
        </w:rPr>
        <w:t xml:space="preserve">The implementation of PPRG in </w:t>
      </w:r>
      <w:proofErr w:type="spellStart"/>
      <w:r w:rsidRPr="002D5427">
        <w:rPr>
          <w:rStyle w:val="citation-17"/>
          <w:rFonts w:ascii="Georgia" w:hAnsi="Georgia"/>
          <w:color w:val="000000" w:themeColor="text1"/>
        </w:rPr>
        <w:t>Sirenja</w:t>
      </w:r>
      <w:proofErr w:type="spellEnd"/>
      <w:r w:rsidRPr="002D5427">
        <w:rPr>
          <w:rStyle w:val="citation-17"/>
          <w:rFonts w:ascii="Georgia" w:hAnsi="Georgia"/>
          <w:color w:val="000000" w:themeColor="text1"/>
        </w:rPr>
        <w:t xml:space="preserve"> has not been optimally institutionalized</w:t>
      </w:r>
      <w:r w:rsidRPr="002D5427">
        <w:rPr>
          <w:rFonts w:ascii="Georgia" w:hAnsi="Georgia"/>
          <w:color w:val="000000" w:themeColor="text1"/>
        </w:rPr>
        <w:t xml:space="preserve">. </w:t>
      </w:r>
      <w:r w:rsidRPr="002D5427">
        <w:rPr>
          <w:rStyle w:val="citation-16"/>
          <w:rFonts w:ascii="Georgia" w:eastAsiaTheme="minorHAnsi" w:hAnsi="Georgia"/>
          <w:color w:val="000000" w:themeColor="text1"/>
        </w:rPr>
        <w:t>Actors' understanding of gender concepts and analysis instruments (GAP/GBS) is still limited, hindering the integration of gender issues in the planning-budgeting cycle</w:t>
      </w:r>
      <w:r w:rsidRPr="002D5427">
        <w:rPr>
          <w:rFonts w:ascii="Georgia" w:hAnsi="Georgia"/>
          <w:color w:val="000000" w:themeColor="text1"/>
        </w:rPr>
        <w:t xml:space="preserve">. </w:t>
      </w:r>
      <w:r w:rsidRPr="002D5427">
        <w:rPr>
          <w:rStyle w:val="citation-15"/>
          <w:rFonts w:ascii="Georgia" w:hAnsi="Georgia"/>
          <w:color w:val="000000" w:themeColor="text1"/>
        </w:rPr>
        <w:t>PUG institutional mechanisms, such as the Focal Point, have not been functioning effectively due to the lack of capacity, coordination, and budget support</w:t>
      </w:r>
      <w:r w:rsidRPr="002D5427">
        <w:rPr>
          <w:rFonts w:ascii="Georgia" w:hAnsi="Georgia"/>
          <w:color w:val="000000" w:themeColor="text1"/>
        </w:rPr>
        <w:t xml:space="preserve">. </w:t>
      </w:r>
      <w:r w:rsidRPr="002D5427">
        <w:rPr>
          <w:rStyle w:val="citation-14"/>
          <w:rFonts w:ascii="Georgia" w:hAnsi="Georgia"/>
          <w:color w:val="000000" w:themeColor="text1"/>
        </w:rPr>
        <w:t xml:space="preserve">In addition, the dominance of patriarchal norms and the lack of women's participation in decision-making are significant cultural barriers. </w:t>
      </w:r>
      <w:r w:rsidRPr="002D5427">
        <w:rPr>
          <w:rStyle w:val="citation-13"/>
          <w:rFonts w:ascii="Georgia" w:hAnsi="Georgia"/>
          <w:color w:val="000000" w:themeColor="text1"/>
        </w:rPr>
        <w:t>The success of PPRG at the sub-district level requires systemic intervention through institutional capacity building, gender-responsive budget integration, the development of technical guidelines, and cultural transformation to encourage women's participation</w:t>
      </w:r>
      <w:r w:rsidRPr="002D5427">
        <w:rPr>
          <w:rFonts w:ascii="Georgia" w:hAnsi="Georgia"/>
          <w:color w:val="000000" w:themeColor="text1"/>
        </w:rPr>
        <w:t xml:space="preserve">. </w:t>
      </w:r>
      <w:r w:rsidRPr="002D5427">
        <w:rPr>
          <w:rStyle w:val="citation-12"/>
          <w:rFonts w:ascii="Georgia" w:eastAsiaTheme="majorEastAsia" w:hAnsi="Georgia"/>
          <w:color w:val="000000" w:themeColor="text1"/>
        </w:rPr>
        <w:t xml:space="preserve">This study contributes to the PUG literature and forms the basis for policy recommendations for the </w:t>
      </w:r>
      <w:proofErr w:type="spellStart"/>
      <w:r w:rsidRPr="002D5427">
        <w:rPr>
          <w:rStyle w:val="citation-12"/>
          <w:rFonts w:ascii="Georgia" w:eastAsiaTheme="majorEastAsia" w:hAnsi="Georgia"/>
          <w:color w:val="000000" w:themeColor="text1"/>
        </w:rPr>
        <w:t>Donggala</w:t>
      </w:r>
      <w:proofErr w:type="spellEnd"/>
      <w:r w:rsidRPr="002D5427">
        <w:rPr>
          <w:rStyle w:val="citation-12"/>
          <w:rFonts w:ascii="Georgia" w:eastAsiaTheme="majorEastAsia" w:hAnsi="Georgia"/>
          <w:color w:val="000000" w:themeColor="text1"/>
        </w:rPr>
        <w:t xml:space="preserve"> Regency Government.</w:t>
      </w:r>
    </w:p>
    <w:p w14:paraId="2B9719E0" w14:textId="71CC994D" w:rsidR="000F1938" w:rsidRDefault="000F1938">
      <w:pPr>
        <w:jc w:val="both"/>
        <w:rPr>
          <w:rFonts w:ascii="Lustria" w:eastAsia="Lustria" w:hAnsi="Lustria" w:cs="Lustria"/>
        </w:rPr>
      </w:pPr>
    </w:p>
    <w:p w14:paraId="5EC86457" w14:textId="72BBEE4D" w:rsidR="000F1938" w:rsidRDefault="00000000">
      <w:pPr>
        <w:rPr>
          <w:rFonts w:ascii="Lustria" w:eastAsia="Lustria" w:hAnsi="Lustria" w:cs="Lustria"/>
          <w:i/>
          <w:sz w:val="22"/>
          <w:szCs w:val="22"/>
        </w:rPr>
      </w:pPr>
      <w:r>
        <w:rPr>
          <w:rFonts w:ascii="Lustria" w:eastAsia="Lustria" w:hAnsi="Lustria" w:cs="Lustria"/>
          <w:i/>
          <w:sz w:val="22"/>
          <w:szCs w:val="22"/>
        </w:rPr>
        <w:t xml:space="preserve">Keywords: </w:t>
      </w:r>
      <w:r w:rsidR="002D5427">
        <w:rPr>
          <w:rFonts w:ascii="Lustria" w:eastAsia="Lustria" w:hAnsi="Lustria" w:cs="Lustria"/>
          <w:i/>
          <w:sz w:val="22"/>
          <w:szCs w:val="22"/>
        </w:rPr>
        <w:t>Development Planning</w:t>
      </w:r>
      <w:r w:rsidR="000A562F">
        <w:rPr>
          <w:rFonts w:ascii="Lustria" w:eastAsia="Lustria" w:hAnsi="Lustria" w:cs="Lustria"/>
          <w:i/>
          <w:sz w:val="22"/>
          <w:szCs w:val="22"/>
        </w:rPr>
        <w:t xml:space="preserve">, Gender Machinery, Gender Mainstreaming, PPRG, </w:t>
      </w:r>
      <w:proofErr w:type="spellStart"/>
      <w:r w:rsidR="000A562F">
        <w:rPr>
          <w:rFonts w:ascii="Lustria" w:eastAsia="Lustria" w:hAnsi="Lustria" w:cs="Lustria"/>
          <w:i/>
          <w:sz w:val="22"/>
          <w:szCs w:val="22"/>
        </w:rPr>
        <w:t>Sirenja</w:t>
      </w:r>
      <w:proofErr w:type="spellEnd"/>
    </w:p>
    <w:p w14:paraId="45A0F3BB" w14:textId="77777777" w:rsidR="000F1938" w:rsidRDefault="000F1938">
      <w:pPr>
        <w:spacing w:after="120"/>
        <w:rPr>
          <w:rFonts w:ascii="Lustria" w:eastAsia="Lustria" w:hAnsi="Lustria" w:cs="Lustria"/>
          <w:b/>
        </w:rPr>
      </w:pPr>
    </w:p>
    <w:p w14:paraId="42EBD2BA" w14:textId="7B7157F8" w:rsidR="000F1938" w:rsidRPr="00CD0665" w:rsidRDefault="00000000" w:rsidP="00CD0665">
      <w:pPr>
        <w:numPr>
          <w:ilvl w:val="0"/>
          <w:numId w:val="1"/>
        </w:numPr>
        <w:pBdr>
          <w:top w:val="nil"/>
          <w:left w:val="nil"/>
          <w:bottom w:val="nil"/>
          <w:right w:val="nil"/>
          <w:between w:val="nil"/>
        </w:pBdr>
        <w:spacing w:after="160" w:line="259" w:lineRule="auto"/>
        <w:ind w:left="426" w:hanging="426"/>
        <w:jc w:val="both"/>
        <w:rPr>
          <w:rFonts w:ascii="Lustria" w:eastAsia="Lustria" w:hAnsi="Lustria" w:cs="Lustria"/>
          <w:b/>
          <w:color w:val="000000"/>
        </w:rPr>
      </w:pPr>
      <w:r>
        <w:rPr>
          <w:rFonts w:ascii="Lustria" w:eastAsia="Lustria" w:hAnsi="Lustria" w:cs="Lustria"/>
          <w:b/>
          <w:color w:val="000000"/>
        </w:rPr>
        <w:t>Introduction</w:t>
      </w:r>
    </w:p>
    <w:p w14:paraId="488E4298" w14:textId="2BB05123" w:rsidR="00CD0665" w:rsidRPr="00CD0665" w:rsidRDefault="00CD0665" w:rsidP="00CD0665">
      <w:pPr>
        <w:pStyle w:val="NormalWeb"/>
        <w:ind w:firstLine="426"/>
        <w:jc w:val="both"/>
        <w:rPr>
          <w:rFonts w:asciiTheme="majorHAnsi" w:hAnsiTheme="majorHAnsi"/>
          <w:i/>
          <w:iCs/>
        </w:rPr>
      </w:pPr>
      <w:r w:rsidRPr="00CD0665">
        <w:rPr>
          <w:rFonts w:asciiTheme="majorHAnsi" w:hAnsiTheme="majorHAnsi"/>
        </w:rPr>
        <w:t>The implementation of Gender Responsive Development Planning (PPRG) is no longer just a normative discourse, but a strategic imperative in achieving the Sustainable Development Goals (SDGs), especially in the pillars of gender equality and the elimination of inequality. Theoretically, the success of gender-responsive policies is highly dependent on the capacity of internal government actors to translate gender inequality issues into policy outcomes (</w:t>
      </w:r>
      <w:r w:rsidRPr="00CD0665">
        <w:rPr>
          <w:rFonts w:asciiTheme="majorHAnsi" w:hAnsiTheme="majorHAnsi"/>
          <w:i/>
          <w:iCs/>
        </w:rPr>
        <w:t>policy outputs</w:t>
      </w:r>
      <w:r w:rsidRPr="00CD0665">
        <w:rPr>
          <w:rFonts w:asciiTheme="majorHAnsi" w:hAnsiTheme="majorHAnsi"/>
        </w:rPr>
        <w:t xml:space="preserve">) that are concrete and measurable </w:t>
      </w:r>
      <w:r w:rsidRPr="00CD0665">
        <w:rPr>
          <w:rFonts w:asciiTheme="majorHAnsi" w:hAnsiTheme="majorHAnsi"/>
        </w:rPr>
        <w:fldChar w:fldCharType="begin"/>
      </w:r>
      <w:r w:rsidRPr="00CD0665">
        <w:rPr>
          <w:rFonts w:asciiTheme="majorHAnsi" w:hAnsiTheme="majorHAnsi"/>
        </w:rPr>
        <w:instrText xml:space="preserve"> ADDIN ZOTERO_ITEM CSL_CITATION {"citationID":"8oQ4DR0p","properties":{"formattedCitation":"(Setyawan, 2016)","plainCitation":"(Setyawan, 2016)","noteIndex":0},"citationItems":[{"id":65,"uris":["http://zotero.org/users/local/yobKiu6n/items/2PZI7S3K"],"itemData":{"id":65,"type":"book","ISBN":"978-602-72248-8-9","publisher":"Forind","publisher-place":"Malang","title":"Perencanaan Dan Penganggaran Yang Responsif Gender","author":[{"family":"Setyawan","given":"Dody"}],"issued":{"date-parts":[["2016"]]}}}],"schema":"https://github.com/citation-style-language/schema/raw/master/csl-citation.json"}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(Scott, 2016)</w:t>
      </w:r>
      <w:r w:rsidRPr="00CD0665">
        <w:rPr>
          <w:rFonts w:asciiTheme="majorHAnsi" w:hAnsiTheme="majorHAnsi"/>
        </w:rPr>
        <w:fldChar w:fldCharType="end"/>
      </w:r>
      <w:r w:rsidRPr="00CD0665">
        <w:rPr>
          <w:rFonts w:asciiTheme="majorHAnsi" w:hAnsiTheme="majorHAnsi"/>
        </w:rPr>
        <w:t xml:space="preserve">. In an institutional context, the existence of </w:t>
      </w:r>
      <w:r w:rsidRPr="00CD0665">
        <w:rPr>
          <w:rFonts w:asciiTheme="majorHAnsi" w:hAnsiTheme="majorHAnsi"/>
          <w:i/>
          <w:iCs/>
        </w:rPr>
        <w:t>gender mainstreaming machinery</w:t>
      </w:r>
      <w:r w:rsidRPr="00CD0665">
        <w:rPr>
          <w:rFonts w:asciiTheme="majorHAnsi" w:hAnsiTheme="majorHAnsi"/>
        </w:rPr>
        <w:t xml:space="preserve"> or the driving engine of gender mainstreaming becomes a crucial instrument that ensures the integration of gender perspectives throughout the policy cycle</w:t>
      </w:r>
      <w:r>
        <w:rPr>
          <w:rFonts w:asciiTheme="majorHAnsi" w:hAnsiTheme="majorHAnsi"/>
        </w:rPr>
        <w:t xml:space="preserve"> </w:t>
      </w:r>
      <w:r w:rsidRPr="00CD0665">
        <w:rPr>
          <w:rFonts w:asciiTheme="majorHAnsi" w:hAnsiTheme="majorHAnsi"/>
        </w:rPr>
        <w:t xml:space="preserve">from planning, budgeting, to evaluation </w:t>
      </w:r>
      <w:r w:rsidRPr="00CD0665">
        <w:rPr>
          <w:rFonts w:asciiTheme="majorHAnsi" w:hAnsiTheme="majorHAnsi"/>
        </w:rPr>
        <w:fldChar w:fldCharType="begin"/>
      </w:r>
      <w:r w:rsidRPr="00CD0665">
        <w:rPr>
          <w:rFonts w:asciiTheme="majorHAnsi" w:hAnsiTheme="majorHAnsi"/>
        </w:rPr>
        <w:instrText xml:space="preserve"> ADDIN ZOTERO_ITEM CSL_CITATION {"citationID":"YY50prg5","properties":{"formattedCitation":"(UN-HABITAT, 2008)","plainCitation":"(UN-HABITAT, 2008)","noteIndex":0},"citationItems":[{"id":68,"uris":["http://zotero.org/users/local/yobKiu6n/items/WNWBTNCA"],"itemData":{"id":68,"type":"book","ISBN":"978-92-1-131995-8","publisher":"United Nations Human Settlements Programme","publisher-place":"Nairobi GPO KENYA","title":"GENDER MAINSTREAMING IN LOCAL AUTHORITIES BEST PRACTICES","author":[{"family":"UN-HABITAT","given":""}],"issued":{"date-parts":[["2008"]]}}}],"schema":"https://github.com/citation-style-language/schema/raw/master/csl-citation.json"}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(UN-HABITAT, 2008)</w:t>
      </w:r>
      <w:r w:rsidRPr="00CD0665">
        <w:rPr>
          <w:rFonts w:asciiTheme="majorHAnsi" w:hAnsiTheme="majorHAnsi"/>
        </w:rPr>
        <w:fldChar w:fldCharType="end"/>
      </w:r>
      <w:r w:rsidRPr="00CD0665">
        <w:rPr>
          <w:rFonts w:asciiTheme="majorHAnsi" w:hAnsiTheme="majorHAnsi"/>
          <w:i/>
          <w:iCs/>
        </w:rPr>
        <w:t>.</w:t>
      </w:r>
      <w:r w:rsidRPr="00CD0665">
        <w:rPr>
          <w:rFonts w:asciiTheme="majorHAnsi" w:hAnsiTheme="majorHAnsi"/>
        </w:rPr>
        <w:t xml:space="preserve"> In Indonesia, this mandate is embodied through </w:t>
      </w:r>
      <w:r w:rsidRPr="00CD0665">
        <w:rPr>
          <w:rFonts w:asciiTheme="majorHAnsi" w:hAnsiTheme="majorHAnsi"/>
        </w:rPr>
        <w:lastRenderedPageBreak/>
        <w:t xml:space="preserve">Presidential Instruction No. 9 of 2000, which places </w:t>
      </w:r>
      <w:r w:rsidRPr="00CD0665">
        <w:rPr>
          <w:rFonts w:asciiTheme="majorHAnsi" w:hAnsiTheme="majorHAnsi"/>
          <w:i/>
          <w:iCs/>
        </w:rPr>
        <w:t xml:space="preserve">Focal Point </w:t>
      </w:r>
      <w:r w:rsidRPr="00CD0665">
        <w:rPr>
          <w:rFonts w:asciiTheme="majorHAnsi" w:hAnsiTheme="majorHAnsi"/>
        </w:rPr>
        <w:t xml:space="preserve">Gender mainstreaming (PUG) as a coordination node and the main technical catalyst at the level of local government agencies </w:t>
      </w:r>
      <w:r w:rsidRPr="00CD0665">
        <w:rPr>
          <w:rFonts w:asciiTheme="majorHAnsi" w:hAnsiTheme="majorHAnsi"/>
        </w:rPr>
        <w:fldChar w:fldCharType="begin"/>
      </w:r>
      <w:r w:rsidRPr="00CD0665">
        <w:rPr>
          <w:rFonts w:asciiTheme="majorHAnsi" w:hAnsiTheme="majorHAnsi"/>
        </w:rPr>
        <w:instrText xml:space="preserve"> ADDIN ZOTERO_ITEM CSL_CITATION {"citationID":"D5exr7c6","properties":{"formattedCitation":"(Dewi Mayasari dkk., 2025)","plainCitation":"(Dewi Mayasari dkk., 2025)","noteIndex":0},"citationItems":[{"id":69,"uris":["http://zotero.org/users/local/yobKiu6n/items/ZPXLNYHV"],"itemData":{"id":69,"type":"article-journal","DOI":"10.69875/djosse.v2i2.197.","page":"157-169","publisher":"DISCOURSE: Indonesian Journal of Social Studies and Education","title":"Menuju Birokrasi Inklusif: Implementasi Kebijakan Kesetaraan Gender di Sektor Publik","volume":"2","author":[{"family":"Dewi Mayasari","given":"Ayu"},{"family":"Dama","given":"Melati"},{"family":"Situmorang","given":"Lisbet"}],"issued":{"date-parts":[["2025"]]}}}],"schema":"https://github.com/citation-style-language/schema/raw/master/csl-citation.json"}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(Dewi Mayasari et al., 2025)</w:t>
      </w:r>
      <w:r w:rsidRPr="00CD0665">
        <w:rPr>
          <w:rFonts w:asciiTheme="majorHAnsi" w:hAnsiTheme="majorHAnsi"/>
        </w:rPr>
        <w:fldChar w:fldCharType="end"/>
      </w:r>
      <w:r w:rsidRPr="00CD0665">
        <w:rPr>
          <w:rFonts w:asciiTheme="majorHAnsi" w:hAnsiTheme="majorHAnsi"/>
        </w:rPr>
        <w:t xml:space="preserve">. However, the empirical reality at the sub-regional government level, especially sub-districts, often presents anomalies. Effectiveness </w:t>
      </w:r>
      <w:r w:rsidRPr="00CD0665">
        <w:rPr>
          <w:rFonts w:asciiTheme="majorHAnsi" w:hAnsiTheme="majorHAnsi"/>
          <w:i/>
          <w:iCs/>
        </w:rPr>
        <w:t>Focal Point</w:t>
      </w:r>
      <w:r w:rsidRPr="00CD0665">
        <w:rPr>
          <w:rFonts w:asciiTheme="majorHAnsi" w:hAnsiTheme="majorHAnsi"/>
        </w:rPr>
        <w:t xml:space="preserve"> PUG often clashes with various structural challenges and capacity deficits </w:t>
      </w:r>
      <w:r w:rsidRPr="00CD0665">
        <w:rPr>
          <w:rFonts w:asciiTheme="majorHAnsi" w:hAnsiTheme="majorHAnsi"/>
        </w:rPr>
        <w:fldChar w:fldCharType="begin"/>
      </w:r>
      <w:r w:rsidRPr="00CD0665">
        <w:rPr>
          <w:rFonts w:asciiTheme="majorHAnsi" w:hAnsiTheme="majorHAnsi"/>
        </w:rPr>
        <w:instrText xml:space="preserve"> ADDIN ZOTERO_ITEM CSL_CITATION {"citationID":"OgnvUnT3","properties":{"formattedCitation":"(Anjellika &amp; Lestarika, 2024)","plainCitation":"(Anjellika &amp; Lestarika, 2024)","noteIndex":0},"citationItems":[{"id":70,"uris":["http://zotero.org/users/local/yobKiu6n/items/AYUBM3IA"],"itemData":{"id":70,"type":"article-journal","ISSN":"3031-8882","page":"542-546","publisher":"Jurnal Kajian Hukum Dan Kebijakan Publik","title":"Analisis Mendalam Tentang Kesenjangan Gender Di Indonesia: Perspektif Teori Dan Kebijakan","volume":"2","author":[{"family":"Anjellika","given":"Ega"},{"family":"Lestarika","given":"Dwi Putri"}],"issued":{"date-parts":[["2024"]]}}}],"schema":"https://github.com/citation-style-language/schema/raw/master/csl-citation.json"}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(Anjellika &amp; Lestarika, 2024)</w:t>
      </w:r>
      <w:r w:rsidRPr="00CD0665">
        <w:rPr>
          <w:rFonts w:asciiTheme="majorHAnsi" w:hAnsiTheme="majorHAnsi"/>
        </w:rPr>
        <w:fldChar w:fldCharType="end"/>
      </w:r>
      <w:r w:rsidRPr="00CD0665">
        <w:rPr>
          <w:rFonts w:asciiTheme="majorHAnsi" w:hAnsiTheme="majorHAnsi"/>
          <w:i/>
          <w:iCs/>
        </w:rPr>
        <w:t>.</w:t>
      </w:r>
    </w:p>
    <w:p w14:paraId="07AA7273" w14:textId="77777777" w:rsidR="00CD0665" w:rsidRPr="00CD0665" w:rsidRDefault="00CD0665" w:rsidP="00CD0665">
      <w:pPr>
        <w:pStyle w:val="NormalWeb"/>
        <w:ind w:firstLine="426"/>
        <w:jc w:val="both"/>
        <w:rPr>
          <w:rFonts w:asciiTheme="majorHAnsi" w:hAnsiTheme="majorHAnsi"/>
        </w:rPr>
      </w:pPr>
      <w:r w:rsidRPr="00CD0665">
        <w:rPr>
          <w:rFonts w:asciiTheme="majorHAnsi" w:hAnsiTheme="majorHAnsi"/>
        </w:rPr>
        <w:t xml:space="preserve">Figure 1 is proof of the originality of this study based on a methodological deconstruction of the literature landscape of "Gender-Responsive Development Planning" (PPRG). Bibliometric network mapping using </w:t>
      </w:r>
      <w:proofErr w:type="spellStart"/>
      <w:r w:rsidRPr="00CD0665">
        <w:rPr>
          <w:rFonts w:asciiTheme="majorHAnsi" w:hAnsiTheme="majorHAnsi"/>
        </w:rPr>
        <w:t>VOSviewer</w:t>
      </w:r>
      <w:proofErr w:type="spellEnd"/>
      <w:r w:rsidRPr="00CD0665">
        <w:rPr>
          <w:rFonts w:asciiTheme="majorHAnsi" w:hAnsiTheme="majorHAnsi"/>
        </w:rPr>
        <w:t xml:space="preserve"> software against contemporary journal articles retrieved from google scholar-indexed. This analysis reveals four main conceptual clusters that have defined the orientation of research in the past decade. Analysis of node density (</w:t>
      </w:r>
      <w:r w:rsidRPr="00CD0665">
        <w:rPr>
          <w:rFonts w:asciiTheme="majorHAnsi" w:hAnsiTheme="majorHAnsi"/>
          <w:i/>
          <w:iCs/>
        </w:rPr>
        <w:t>node</w:t>
      </w:r>
      <w:r w:rsidRPr="00CD0665">
        <w:rPr>
          <w:rFonts w:asciiTheme="majorHAnsi" w:hAnsiTheme="majorHAnsi"/>
        </w:rPr>
        <w:t>) and the thickness of the connecting line (</w:t>
      </w:r>
      <w:r w:rsidRPr="00CD0665">
        <w:rPr>
          <w:rFonts w:asciiTheme="majorHAnsi" w:hAnsiTheme="majorHAnsi"/>
          <w:i/>
          <w:iCs/>
        </w:rPr>
        <w:t>link strength</w:t>
      </w:r>
      <w:r w:rsidRPr="00CD0665">
        <w:rPr>
          <w:rFonts w:asciiTheme="majorHAnsi" w:hAnsiTheme="majorHAnsi"/>
        </w:rPr>
        <w:t xml:space="preserve">) critically dismantles the illusion of topic saturation and diagnoses the stagnation of research focus on macro-structural regions </w:t>
      </w:r>
      <w:r w:rsidRPr="00CD0665">
        <w:rPr>
          <w:rFonts w:asciiTheme="majorHAnsi" w:hAnsiTheme="majorHAnsi"/>
        </w:rPr>
        <w:fldChar w:fldCharType="begin"/>
      </w:r>
      <w:r w:rsidRPr="00CD0665">
        <w:rPr>
          <w:rFonts w:asciiTheme="majorHAnsi" w:hAnsiTheme="majorHAnsi"/>
        </w:rPr>
        <w:instrText xml:space="preserve"> ADDIN ZOTERO_ITEM CSL_CITATION {"citationID":"WcKxoPpC","properties":{"formattedCitation":"(Eck &amp; Waltman, 2020)","plainCitation":"(Eck &amp; Waltman, 2020)","noteIndex":0},"citationItems":[{"id":71,"uris":["http://zotero.org/users/local/yobKiu6n/items/3XUM42LV"],"itemData":{"id":71,"type":"book","publisher":"Leiden University’s Centre","title":"VOSviewer Manual","author":[{"family":"Eck","given":"N"},{"family":"Waltman","given":"L"}],"issued":{"date-parts":[["2020"]]}}}],"schema":"https://github.com/citation-style-language/schema/raw/master/csl-citation.json"}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(Eck &amp; Waltman, 2020)</w:t>
      </w:r>
      <w:r w:rsidRPr="00CD0665">
        <w:rPr>
          <w:rFonts w:asciiTheme="majorHAnsi" w:hAnsiTheme="majorHAnsi"/>
        </w:rPr>
        <w:fldChar w:fldCharType="end"/>
      </w:r>
      <w:r w:rsidRPr="00CD0665">
        <w:rPr>
          <w:rFonts w:asciiTheme="majorHAnsi" w:hAnsiTheme="majorHAnsi"/>
          <w:i/>
          <w:iCs/>
        </w:rPr>
        <w:t xml:space="preserve">. </w:t>
      </w:r>
    </w:p>
    <w:p w14:paraId="6729ABD9" w14:textId="77777777" w:rsidR="00CD0665" w:rsidRPr="00CD0665" w:rsidRDefault="00CD0665" w:rsidP="00CD0665">
      <w:pPr>
        <w:pStyle w:val="NormalWeb"/>
        <w:ind w:firstLine="426"/>
        <w:jc w:val="both"/>
        <w:rPr>
          <w:rFonts w:asciiTheme="majorHAnsi" w:hAnsiTheme="majorHAnsi"/>
        </w:rPr>
      </w:pPr>
      <w:r w:rsidRPr="00CD0665">
        <w:rPr>
          <w:rFonts w:asciiTheme="majorHAnsi" w:hAnsiTheme="majorHAnsi"/>
        </w:rPr>
        <w:t xml:space="preserve">The first cluster (blue) and the second cluster (green) dominate academic discourse with the centrality of the lemmas "gender responsive", "PUG", and "ARG". In-depth analysis shows that this literature stream represents a normative-legalistic and positivistic study that has undergone hyper-saturation </w:t>
      </w:r>
      <w:r w:rsidRPr="00CD0665">
        <w:rPr>
          <w:rFonts w:asciiTheme="majorHAnsi" w:hAnsiTheme="majorHAnsi"/>
        </w:rPr>
        <w:fldChar w:fldCharType="begin"/>
      </w:r>
      <w:r w:rsidRPr="00CD0665">
        <w:rPr>
          <w:rFonts w:asciiTheme="majorHAnsi" w:hAnsiTheme="majorHAnsi"/>
        </w:rPr>
        <w:instrText xml:space="preserve"> ADDIN ZOTERO_ITEM CSL_CITATION {"citationID":"WvamKBCK","properties":{"formattedCitation":"(Peterson &amp; Jordansson, 2022)","plainCitation":"(Peterson &amp; Jordansson, 2022)","noteIndex":0},"citationItems":[{"id":106,"uris":["http://zotero.org/users/local/yobKiu6n/items/7CJVSKCS"],"itemData":{"id":106,"type":"article-journal","page":"87-100","publisher":"Journal of Gender Studies","title":"Gender mainstreaming in Swedish academia: translating policy into practice.","volume":"31(1)","author":[{"family":"Peterson","given":"H"},{"family":"Jordansson","given":"B"}],"issued":{"date-parts":[["2022"]]}}}],"schema":"https://github.com/citation-style-language/schema/raw/master/csl-citation.json"}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(Peterson &amp; Jordansson, 2022)</w:t>
      </w:r>
      <w:r w:rsidRPr="00CD0665">
        <w:rPr>
          <w:rFonts w:asciiTheme="majorHAnsi" w:hAnsiTheme="majorHAnsi"/>
        </w:rPr>
        <w:fldChar w:fldCharType="end"/>
      </w:r>
      <w:r w:rsidRPr="00CD0665">
        <w:rPr>
          <w:rFonts w:asciiTheme="majorHAnsi" w:hAnsiTheme="majorHAnsi"/>
        </w:rPr>
        <w:t>. The majority of research in this cluster is trapped as an echo chamber (</w:t>
      </w:r>
      <w:r w:rsidRPr="00CD0665">
        <w:rPr>
          <w:rFonts w:asciiTheme="majorHAnsi" w:hAnsiTheme="majorHAnsi"/>
          <w:i/>
          <w:iCs/>
        </w:rPr>
        <w:t>echo chamber</w:t>
      </w:r>
      <w:r w:rsidRPr="00CD0665">
        <w:rPr>
          <w:rFonts w:asciiTheme="majorHAnsi" w:hAnsiTheme="majorHAnsi"/>
        </w:rPr>
        <w:t xml:space="preserve">) which simply evaluates the adoption of regulations at the ministry/provincial level or measures the effectiveness of the allocation ratio of the Regional Revenue and Expenditure Budget (APBD) in aggregate quantitatively. This econometric bias approach often reduces the budget to a mere numerical entity, ignoring sociological interactions, bureaucratic intrigues, and the competence of the implementing apparatus at the grassroots level such as the sub-district </w:t>
      </w:r>
      <w:r w:rsidRPr="00CD0665">
        <w:rPr>
          <w:rFonts w:asciiTheme="majorHAnsi" w:hAnsiTheme="majorHAnsi"/>
        </w:rPr>
        <w:fldChar w:fldCharType="begin"/>
      </w:r>
      <w:r w:rsidRPr="00CD0665">
        <w:rPr>
          <w:rFonts w:asciiTheme="majorHAnsi" w:hAnsiTheme="majorHAnsi"/>
        </w:rPr>
        <w:instrText xml:space="preserve"> ADDIN ZOTERO_ITEM CSL_CITATION {"citationID":"9UKzJSMs","properties":{"formattedCitation":"(Polzer dkk., 2023)","plainCitation":"(Polzer dkk., 2023)","noteIndex":0},"citationItems":[{"id":107,"uris":["http://zotero.org/users/local/yobKiu6n/items/AHJQ7XXA"],"itemData":{"id":107,"type":"article-journal","DOI":"https://doi.org/10.1177/00208523211031796","page":"450-466","publisher":"International Review of Administrative Sciences","title":"Gender budgeting in public financial management: a literature review and research agenda","volume":"89(2)","author":[{"family":"Polzer","given":"T"},{"family":"Nolte","given":"I.M."},{"family":"Seiwald","given":"J"}],"issued":{"date-parts":[["2023"]]}}}],"schema":"https://github.com/citation-style-language/schema/raw/master/csl-citation.json"}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(Polzer dkk., 2023)</w:t>
      </w:r>
      <w:r w:rsidRPr="00CD0665">
        <w:rPr>
          <w:rFonts w:asciiTheme="majorHAnsi" w:hAnsiTheme="majorHAnsi"/>
        </w:rPr>
        <w:fldChar w:fldCharType="end"/>
      </w:r>
      <w:r w:rsidRPr="00CD0665">
        <w:rPr>
          <w:rFonts w:asciiTheme="majorHAnsi" w:hAnsiTheme="majorHAnsi"/>
        </w:rPr>
        <w:t xml:space="preserve">. Meanwhile, the third (red) and fourth (yellow) clusters focused on sectoral implementation evaluation and target mapping </w:t>
      </w:r>
      <w:r w:rsidRPr="00CD0665">
        <w:rPr>
          <w:rFonts w:asciiTheme="majorHAnsi" w:hAnsiTheme="majorHAnsi"/>
          <w:i/>
          <w:iCs/>
        </w:rPr>
        <w:t>Sustainable Development Goals</w:t>
      </w:r>
      <w:r w:rsidRPr="00CD0665">
        <w:rPr>
          <w:rFonts w:asciiTheme="majorHAnsi" w:hAnsiTheme="majorHAnsi"/>
        </w:rPr>
        <w:t xml:space="preserve"> (SDGs) also still show macro-scale locus bias. Although efforts to dissect empirical aspects related to gender representation and equality, these researches are still centralized on the joint evaluation of the district/city level Regional Apparatus Organizations (OPD) or the dominant service programs </w:t>
      </w:r>
      <w:r w:rsidRPr="00CD0665">
        <w:rPr>
          <w:rFonts w:asciiTheme="majorHAnsi" w:hAnsiTheme="majorHAnsi"/>
        </w:rPr>
        <w:fldChar w:fldCharType="begin"/>
      </w:r>
      <w:r w:rsidRPr="00CD0665">
        <w:rPr>
          <w:rFonts w:asciiTheme="majorHAnsi" w:hAnsiTheme="majorHAnsi"/>
        </w:rPr>
        <w:instrText xml:space="preserve"> ADDIN ZOTERO_ITEM CSL_CITATION {"citationID":"1fRKLawN","properties":{"formattedCitation":"(Sari &amp; Suryani, 2023)","plainCitation":"(Sari &amp; Suryani, 2023)","noteIndex":0},"citationItems":[{"id":72,"uris":["http://zotero.org/users/local/yobKiu6n/items/DYC7RNA5"],"itemData":{"id":72,"type":"article-journal","DOI":"https://doi.org/10.20961/sp.v18i1.64885","ISSN":"2580-3875","page":"12-34","publisher":"Spirit Publik","title":"Implementasi Kebijakan Pengarusutamaan Gender di Pemerintah Daerah Daerah Istimewa Yogyakarta","volume":"18","author":[{"family":"Sari","given":"Rina Hap"},{"family":"Suryani","given":"Dewi Amanatun"}],"issued":{"date-parts":[["2023"]]}}}],"schema":"https://github.com/citation-style-language/schema/raw/master/csl-citation.json"}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(Sari &amp; Suryani, 2023)</w:t>
      </w:r>
      <w:r w:rsidRPr="00CD0665">
        <w:rPr>
          <w:rFonts w:asciiTheme="majorHAnsi" w:hAnsiTheme="majorHAnsi"/>
        </w:rPr>
        <w:fldChar w:fldCharType="end"/>
      </w:r>
      <w:r w:rsidRPr="00CD0665">
        <w:rPr>
          <w:rFonts w:asciiTheme="majorHAnsi" w:hAnsiTheme="majorHAnsi"/>
          <w:i/>
          <w:iCs/>
        </w:rPr>
        <w:t>.</w:t>
      </w:r>
    </w:p>
    <w:p w14:paraId="56393B76" w14:textId="483F8910" w:rsidR="00CD0665" w:rsidRDefault="00CD0665" w:rsidP="00CD0665">
      <w:pPr>
        <w:pStyle w:val="NormalWeb"/>
        <w:ind w:firstLine="426"/>
        <w:jc w:val="both"/>
        <w:rPr>
          <w:rFonts w:asciiTheme="majorHAnsi" w:hAnsiTheme="majorHAnsi"/>
        </w:rPr>
      </w:pPr>
      <w:r w:rsidRPr="00CD0665">
        <w:rPr>
          <w:rFonts w:asciiTheme="majorHAnsi" w:hAnsiTheme="majorHAnsi"/>
        </w:rPr>
        <w:t>This bibliometric constellation empirically proves the existence of a literary emptiness (</w:t>
      </w:r>
      <w:r w:rsidRPr="00CD0665">
        <w:rPr>
          <w:rFonts w:asciiTheme="majorHAnsi" w:hAnsiTheme="majorHAnsi"/>
          <w:i/>
          <w:iCs/>
        </w:rPr>
        <w:t>research gap</w:t>
      </w:r>
      <w:r w:rsidRPr="00CD0665">
        <w:rPr>
          <w:rFonts w:asciiTheme="majorHAnsi" w:hAnsiTheme="majorHAnsi"/>
        </w:rPr>
        <w:t>) significant. Studies that specifically dissect the institutional effectiveness of PPRG at the sub-regional (sub-district) level</w:t>
      </w:r>
      <w:r>
        <w:rPr>
          <w:rFonts w:asciiTheme="majorHAnsi" w:hAnsiTheme="majorHAnsi"/>
        </w:rPr>
        <w:t xml:space="preserve"> </w:t>
      </w:r>
      <w:r w:rsidRPr="00CD0665">
        <w:rPr>
          <w:rFonts w:asciiTheme="majorHAnsi" w:hAnsiTheme="majorHAnsi"/>
        </w:rPr>
        <w:t>as the spearhead that converts budget figures into real services</w:t>
      </w:r>
      <w:r>
        <w:rPr>
          <w:rFonts w:asciiTheme="majorHAnsi" w:hAnsiTheme="majorHAnsi"/>
        </w:rPr>
        <w:t xml:space="preserve"> </w:t>
      </w:r>
      <w:r w:rsidRPr="00CD0665">
        <w:rPr>
          <w:rFonts w:asciiTheme="majorHAnsi" w:hAnsiTheme="majorHAnsi"/>
        </w:rPr>
        <w:t xml:space="preserve">have been minimally explored </w:t>
      </w:r>
      <w:r w:rsidRPr="00CD0665">
        <w:rPr>
          <w:rFonts w:asciiTheme="majorHAnsi" w:hAnsiTheme="majorHAnsi"/>
        </w:rPr>
        <w:fldChar w:fldCharType="begin"/>
      </w:r>
      <w:r w:rsidRPr="00CD0665">
        <w:rPr>
          <w:rFonts w:asciiTheme="majorHAnsi" w:hAnsiTheme="majorHAnsi"/>
        </w:rPr>
        <w:instrText xml:space="preserve"> ADDIN ZOTERO_ITEM CSL_CITATION {"citationID":"Jl8yOtwk","properties":{"formattedCitation":"(Gorety dkk., 2024)","plainCitation":"(Gorety dkk., 2024)","noteIndex":0},"citationItems":[{"id":73,"uris":["http://zotero.org/users/local/yobKiu6n/items/JNU637D9"],"itemData":{"id":73,"type":"article-journal","ISSN":"2721-4990","page":"5770-5775","publisher":"Communnity Development Journal","section":"3","title":"PENGARUSUTAMAAN DAN DESENTRALISASI PEMBANGUNAN GENDER PADA KELOMPOK TANI HIRO HELING, DESA TEBUK, KECAMATAN NITA, KABUPATEN SIKKA","volume":"5","author":[{"family":"Gorety","given":"Ersilia Marietha"},{"family":"Selfianus","given":""},{"family":"Meltodius","given":"Yosep"},{"family":"Rongan","given":"Yoseph"},{"family":"Yeti","given":"Delviana Nona"}],"issued":{"date-parts":[["2024"]]}}}],"schema":"https://github.com/citation-style-language/schema/raw/master/csl-citation.json"}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 xml:space="preserve">(Gorety </w:t>
      </w:r>
      <w:r>
        <w:rPr>
          <w:rFonts w:asciiTheme="majorHAnsi" w:hAnsiTheme="majorHAnsi"/>
          <w:noProof/>
        </w:rPr>
        <w:t>et al</w:t>
      </w:r>
      <w:r w:rsidRPr="00CD0665">
        <w:rPr>
          <w:rFonts w:asciiTheme="majorHAnsi" w:hAnsiTheme="majorHAnsi"/>
          <w:noProof/>
        </w:rPr>
        <w:t>., 2024)</w:t>
      </w:r>
      <w:r w:rsidRPr="00CD0665">
        <w:rPr>
          <w:rFonts w:asciiTheme="majorHAnsi" w:hAnsiTheme="majorHAnsi"/>
        </w:rPr>
        <w:fldChar w:fldCharType="end"/>
      </w:r>
      <w:r w:rsidRPr="00CD0665">
        <w:rPr>
          <w:rFonts w:asciiTheme="majorHAnsi" w:hAnsiTheme="majorHAnsi"/>
          <w:i/>
          <w:iCs/>
        </w:rPr>
        <w:t>.</w:t>
      </w:r>
      <w:r w:rsidRPr="00CD0665">
        <w:rPr>
          <w:rFonts w:asciiTheme="majorHAnsi" w:hAnsiTheme="majorHAnsi"/>
        </w:rPr>
        <w:t xml:space="preserve"> This gap becomes even more crucial when the grassroots bureaucratic locus is directly intersected with the dimensions of dual vulnerability (gender and disaster), as well as the empirical reality that occurs in coastal areas.</w:t>
      </w:r>
    </w:p>
    <w:p w14:paraId="0337D4FA" w14:textId="77777777" w:rsidR="00CD0665" w:rsidRDefault="00CD0665" w:rsidP="00CD0665">
      <w:pPr>
        <w:pStyle w:val="NormalWeb"/>
        <w:ind w:firstLine="426"/>
        <w:jc w:val="both"/>
        <w:rPr>
          <w:rFonts w:asciiTheme="majorHAnsi" w:hAnsiTheme="majorHAnsi"/>
        </w:rPr>
      </w:pPr>
    </w:p>
    <w:p w14:paraId="561B2B7C" w14:textId="77777777" w:rsidR="00CD0665" w:rsidRDefault="00CD0665" w:rsidP="00CD0665">
      <w:pPr>
        <w:pStyle w:val="NormalWeb"/>
        <w:ind w:firstLine="426"/>
        <w:jc w:val="both"/>
        <w:rPr>
          <w:rFonts w:asciiTheme="majorHAnsi" w:hAnsiTheme="majorHAnsi"/>
        </w:rPr>
      </w:pPr>
    </w:p>
    <w:p w14:paraId="49F254AA" w14:textId="77777777" w:rsidR="00CD0665" w:rsidRDefault="00CD0665" w:rsidP="00CD0665">
      <w:pPr>
        <w:pStyle w:val="NormalWeb"/>
        <w:ind w:firstLine="426"/>
        <w:jc w:val="both"/>
        <w:rPr>
          <w:rFonts w:asciiTheme="majorHAnsi" w:hAnsiTheme="majorHAnsi"/>
        </w:rPr>
      </w:pPr>
    </w:p>
    <w:p w14:paraId="4A411A85" w14:textId="77777777" w:rsidR="00CD0665" w:rsidRDefault="00CD0665" w:rsidP="00CD0665">
      <w:pPr>
        <w:pStyle w:val="NormalWeb"/>
        <w:ind w:firstLine="426"/>
        <w:jc w:val="both"/>
        <w:rPr>
          <w:rFonts w:asciiTheme="majorHAnsi" w:hAnsiTheme="majorHAnsi"/>
        </w:rPr>
      </w:pPr>
    </w:p>
    <w:p w14:paraId="1A36BCF6" w14:textId="77777777" w:rsidR="00CD0665" w:rsidRDefault="00CD0665" w:rsidP="00CD0665">
      <w:pPr>
        <w:pStyle w:val="NormalWeb"/>
        <w:ind w:firstLine="426"/>
        <w:jc w:val="both"/>
        <w:rPr>
          <w:rFonts w:asciiTheme="majorHAnsi" w:hAnsiTheme="majorHAnsi"/>
        </w:rPr>
      </w:pPr>
    </w:p>
    <w:p w14:paraId="199ED8C8" w14:textId="4B41BA8A" w:rsidR="00CD0665" w:rsidRPr="00CD0665" w:rsidRDefault="00CD0665" w:rsidP="00CD0665">
      <w:pPr>
        <w:pStyle w:val="NormalWeb"/>
        <w:ind w:firstLine="426"/>
        <w:jc w:val="both"/>
        <w:rPr>
          <w:rFonts w:asciiTheme="majorHAnsi" w:hAnsiTheme="majorHAnsi"/>
        </w:rPr>
      </w:pPr>
      <w:r w:rsidRPr="00CD0665">
        <w:rPr>
          <w:rFonts w:asciiTheme="majorHAnsi" w:hAnsiTheme="majorHAnsi"/>
          <w:noProof/>
          <w:color w:val="000000" w:themeColor="text1"/>
          <w:sz w:val="40"/>
        </w:rPr>
        <w:lastRenderedPageBreak/>
        <w:drawing>
          <wp:anchor distT="0" distB="0" distL="114300" distR="114300" simplePos="0" relativeHeight="251662336" behindDoc="0" locked="0" layoutInCell="1" allowOverlap="1" wp14:anchorId="6E1104F5" wp14:editId="17AA64C2">
            <wp:simplePos x="0" y="0"/>
            <wp:positionH relativeFrom="column">
              <wp:posOffset>871855</wp:posOffset>
            </wp:positionH>
            <wp:positionV relativeFrom="paragraph">
              <wp:posOffset>-12636</wp:posOffset>
            </wp:positionV>
            <wp:extent cx="3892492" cy="2364452"/>
            <wp:effectExtent l="0" t="0" r="0" b="0"/>
            <wp:wrapNone/>
            <wp:docPr id="512066687" name="Gambar 1" descr="An image contains a diagram, an image&#10;&#10;AI-generated content may be w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66687" name="Gambar 1" descr="Sebuah gambar berisi diagram, gambar&#10;&#10;Konten yang dihasilkan AI mungkin salah."/>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92492" cy="2364452"/>
                    </a:xfrm>
                    <a:prstGeom prst="rect">
                      <a:avLst/>
                    </a:prstGeom>
                  </pic:spPr>
                </pic:pic>
              </a:graphicData>
            </a:graphic>
            <wp14:sizeRelH relativeFrom="page">
              <wp14:pctWidth>0</wp14:pctWidth>
            </wp14:sizeRelH>
            <wp14:sizeRelV relativeFrom="page">
              <wp14:pctHeight>0</wp14:pctHeight>
            </wp14:sizeRelV>
          </wp:anchor>
        </w:drawing>
      </w:r>
    </w:p>
    <w:p w14:paraId="6CAAF681" w14:textId="67DAAD92" w:rsidR="00CD0665" w:rsidRDefault="00CD0665" w:rsidP="00CD0665">
      <w:pPr>
        <w:ind w:firstLine="284"/>
        <w:rPr>
          <w:rFonts w:ascii="Californian FB" w:hAnsi="Californian FB"/>
          <w:szCs w:val="18"/>
          <w:lang w:val="en-ID"/>
        </w:rPr>
      </w:pPr>
    </w:p>
    <w:p w14:paraId="75BFAE7E" w14:textId="5A9A4E9A" w:rsidR="00CD0665" w:rsidRDefault="00CD0665" w:rsidP="00CD0665">
      <w:pPr>
        <w:ind w:firstLine="284"/>
        <w:rPr>
          <w:rFonts w:ascii="Californian FB" w:hAnsi="Californian FB"/>
          <w:color w:val="00B050"/>
          <w:szCs w:val="18"/>
          <w:lang w:val="en-ID"/>
        </w:rPr>
      </w:pPr>
    </w:p>
    <w:p w14:paraId="55960CBC" w14:textId="303D3A5B" w:rsidR="00CD0665" w:rsidRDefault="00CD0665" w:rsidP="00CD0665">
      <w:pPr>
        <w:ind w:firstLine="284"/>
        <w:rPr>
          <w:rFonts w:ascii="Californian FB" w:hAnsi="Californian FB"/>
          <w:color w:val="00B050"/>
          <w:szCs w:val="18"/>
          <w:lang w:val="en-ID"/>
        </w:rPr>
      </w:pPr>
    </w:p>
    <w:p w14:paraId="787376F6" w14:textId="77777777" w:rsidR="00CD0665" w:rsidRDefault="00CD0665" w:rsidP="00CD0665">
      <w:pPr>
        <w:ind w:firstLine="284"/>
        <w:rPr>
          <w:rFonts w:ascii="Californian FB" w:hAnsi="Californian FB"/>
          <w:color w:val="00B050"/>
          <w:szCs w:val="18"/>
          <w:lang w:val="en-ID"/>
        </w:rPr>
      </w:pPr>
    </w:p>
    <w:p w14:paraId="00A7C670" w14:textId="77777777" w:rsidR="00CD0665" w:rsidRDefault="00CD0665" w:rsidP="00CD0665">
      <w:pPr>
        <w:ind w:firstLine="284"/>
        <w:rPr>
          <w:rFonts w:ascii="Californian FB" w:hAnsi="Californian FB"/>
          <w:color w:val="00B050"/>
          <w:szCs w:val="18"/>
          <w:lang w:val="en-ID"/>
        </w:rPr>
      </w:pPr>
    </w:p>
    <w:p w14:paraId="3F746EF6" w14:textId="77777777" w:rsidR="00CD0665" w:rsidRDefault="00CD0665" w:rsidP="00CD0665">
      <w:pPr>
        <w:ind w:firstLine="284"/>
        <w:rPr>
          <w:rFonts w:ascii="Californian FB" w:hAnsi="Californian FB"/>
          <w:color w:val="00B050"/>
          <w:szCs w:val="18"/>
          <w:lang w:val="en-ID"/>
        </w:rPr>
      </w:pPr>
    </w:p>
    <w:p w14:paraId="70D196A7" w14:textId="77777777" w:rsidR="00CD0665" w:rsidRDefault="00CD0665" w:rsidP="00CD0665">
      <w:pPr>
        <w:ind w:firstLine="284"/>
        <w:rPr>
          <w:rFonts w:ascii="Californian FB" w:hAnsi="Californian FB"/>
          <w:color w:val="00B050"/>
          <w:szCs w:val="18"/>
          <w:lang w:val="en-ID"/>
        </w:rPr>
      </w:pPr>
    </w:p>
    <w:p w14:paraId="338D6E51" w14:textId="77777777" w:rsidR="00CD0665" w:rsidRDefault="00CD0665" w:rsidP="00CD0665">
      <w:pPr>
        <w:ind w:firstLine="284"/>
        <w:rPr>
          <w:rFonts w:ascii="Californian FB" w:hAnsi="Californian FB"/>
          <w:color w:val="00B050"/>
          <w:szCs w:val="18"/>
          <w:lang w:val="en-ID"/>
        </w:rPr>
      </w:pPr>
    </w:p>
    <w:p w14:paraId="53CDF79C" w14:textId="77777777" w:rsidR="00CD0665" w:rsidRDefault="00CD0665" w:rsidP="00CD0665">
      <w:pPr>
        <w:ind w:firstLine="284"/>
        <w:rPr>
          <w:rFonts w:ascii="Californian FB" w:hAnsi="Californian FB"/>
          <w:color w:val="00B050"/>
          <w:szCs w:val="18"/>
          <w:lang w:val="en-ID"/>
        </w:rPr>
      </w:pPr>
    </w:p>
    <w:p w14:paraId="1FA101E0" w14:textId="77777777" w:rsidR="00CD0665" w:rsidRDefault="00CD0665" w:rsidP="00CD0665">
      <w:pPr>
        <w:ind w:firstLine="284"/>
        <w:rPr>
          <w:rFonts w:ascii="Californian FB" w:hAnsi="Californian FB"/>
          <w:color w:val="00B050"/>
          <w:szCs w:val="18"/>
          <w:lang w:val="en-ID"/>
        </w:rPr>
      </w:pPr>
    </w:p>
    <w:p w14:paraId="7ED1BEEB" w14:textId="77777777" w:rsidR="00CD0665" w:rsidRDefault="00CD0665" w:rsidP="00CD0665">
      <w:pPr>
        <w:ind w:firstLine="284"/>
        <w:rPr>
          <w:rFonts w:ascii="Californian FB" w:hAnsi="Californian FB"/>
          <w:color w:val="00B050"/>
          <w:szCs w:val="18"/>
        </w:rPr>
      </w:pPr>
    </w:p>
    <w:p w14:paraId="4F744B86" w14:textId="77777777" w:rsidR="00CD0665" w:rsidRPr="00F6573C" w:rsidRDefault="00CD0665" w:rsidP="00CD0665">
      <w:pPr>
        <w:pStyle w:val="NormalWeb"/>
        <w:spacing w:before="0" w:beforeAutospacing="0" w:after="0" w:afterAutospacing="0" w:line="276" w:lineRule="auto"/>
        <w:rPr>
          <w:rFonts w:ascii="Californian FB" w:hAnsi="Californian FB"/>
          <w:color w:val="000000" w:themeColor="text1"/>
          <w:sz w:val="18"/>
          <w:szCs w:val="18"/>
        </w:rPr>
      </w:pPr>
    </w:p>
    <w:p w14:paraId="3B823277" w14:textId="77777777" w:rsidR="00CD0665" w:rsidRPr="00CD0665" w:rsidRDefault="00CD0665" w:rsidP="00CD0665">
      <w:pPr>
        <w:rPr>
          <w:rFonts w:asciiTheme="majorHAnsi" w:hAnsiTheme="majorHAnsi"/>
        </w:rPr>
      </w:pPr>
      <w:r w:rsidRPr="00CD0665">
        <w:rPr>
          <w:rFonts w:asciiTheme="majorHAnsi" w:hAnsiTheme="majorHAnsi"/>
          <w:b/>
          <w:bCs/>
          <w:color w:val="000000" w:themeColor="text1"/>
        </w:rPr>
        <w:t>Figure 1.</w:t>
      </w:r>
      <w:r w:rsidRPr="00CD0665">
        <w:rPr>
          <w:rFonts w:asciiTheme="majorHAnsi" w:hAnsiTheme="majorHAnsi"/>
          <w:color w:val="000000" w:themeColor="text1"/>
        </w:rPr>
        <w:t xml:space="preserve"> Bibliometric </w:t>
      </w:r>
      <w:r w:rsidRPr="00CD0665">
        <w:rPr>
          <w:rFonts w:asciiTheme="majorHAnsi" w:hAnsiTheme="majorHAnsi"/>
        </w:rPr>
        <w:t>Visualization of Key Themes in Gender Responsive Development.</w:t>
      </w:r>
    </w:p>
    <w:p w14:paraId="0CD6D075" w14:textId="09AD07E4" w:rsidR="00CD0665" w:rsidRPr="00CD0665" w:rsidRDefault="00CD0665" w:rsidP="00CD0665">
      <w:pPr>
        <w:pStyle w:val="NormalWeb"/>
        <w:spacing w:before="0" w:beforeAutospacing="0" w:after="0" w:afterAutospacing="0" w:line="276" w:lineRule="auto"/>
        <w:jc w:val="both"/>
        <w:rPr>
          <w:rFonts w:asciiTheme="majorHAnsi" w:hAnsiTheme="majorHAnsi"/>
          <w:i/>
          <w:iCs/>
          <w:color w:val="000000" w:themeColor="text1"/>
        </w:rPr>
      </w:pPr>
      <w:r w:rsidRPr="00CD0665">
        <w:rPr>
          <w:rFonts w:asciiTheme="majorHAnsi" w:hAnsiTheme="majorHAnsi"/>
          <w:b/>
          <w:bCs/>
          <w:i/>
          <w:iCs/>
          <w:color w:val="000000" w:themeColor="text1"/>
        </w:rPr>
        <w:t>Source:</w:t>
      </w:r>
      <w:r w:rsidRPr="00CD0665">
        <w:rPr>
          <w:rFonts w:asciiTheme="majorHAnsi" w:hAnsiTheme="majorHAnsi"/>
          <w:i/>
          <w:iCs/>
          <w:color w:val="000000" w:themeColor="text1"/>
        </w:rPr>
        <w:t xml:space="preserve"> </w:t>
      </w:r>
      <w:proofErr w:type="spellStart"/>
      <w:r w:rsidRPr="00CD0665">
        <w:rPr>
          <w:rFonts w:asciiTheme="majorHAnsi" w:hAnsiTheme="majorHAnsi"/>
          <w:i/>
          <w:iCs/>
          <w:color w:val="000000" w:themeColor="text1"/>
        </w:rPr>
        <w:t>VOSviewer</w:t>
      </w:r>
      <w:proofErr w:type="spellEnd"/>
      <w:r w:rsidRPr="00CD0665">
        <w:rPr>
          <w:rFonts w:asciiTheme="majorHAnsi" w:hAnsiTheme="majorHAnsi"/>
          <w:i/>
          <w:iCs/>
          <w:color w:val="000000" w:themeColor="text1"/>
        </w:rPr>
        <w:t xml:space="preserve"> analysis of Google Scholars-indexed articles, (2020–2025)</w:t>
      </w:r>
    </w:p>
    <w:p w14:paraId="459DDBE5" w14:textId="7FB0FDC5" w:rsidR="00CD0665" w:rsidRPr="00CD0665" w:rsidRDefault="00CD0665" w:rsidP="00CD0665">
      <w:pPr>
        <w:pStyle w:val="NormalWeb"/>
        <w:ind w:firstLine="426"/>
        <w:jc w:val="both"/>
        <w:rPr>
          <w:rFonts w:asciiTheme="majorHAnsi" w:hAnsiTheme="majorHAnsi"/>
        </w:rPr>
      </w:pPr>
      <w:r w:rsidRPr="00CD0665">
        <w:rPr>
          <w:rFonts w:asciiTheme="majorHAnsi" w:hAnsiTheme="majorHAnsi"/>
        </w:rPr>
        <w:t xml:space="preserve">This phenomenon is clearly represented in </w:t>
      </w:r>
      <w:proofErr w:type="spellStart"/>
      <w:r w:rsidRPr="00CD0665">
        <w:rPr>
          <w:rFonts w:asciiTheme="majorHAnsi" w:hAnsiTheme="majorHAnsi"/>
        </w:rPr>
        <w:t>Sirenja</w:t>
      </w:r>
      <w:proofErr w:type="spellEnd"/>
      <w:r w:rsidRPr="00CD0665">
        <w:rPr>
          <w:rFonts w:asciiTheme="majorHAnsi" w:hAnsiTheme="majorHAnsi"/>
        </w:rPr>
        <w:t xml:space="preserve"> District, </w:t>
      </w:r>
      <w:proofErr w:type="spellStart"/>
      <w:r w:rsidRPr="00CD0665">
        <w:rPr>
          <w:rFonts w:asciiTheme="majorHAnsi" w:hAnsiTheme="majorHAnsi"/>
        </w:rPr>
        <w:t>Donggala</w:t>
      </w:r>
      <w:proofErr w:type="spellEnd"/>
      <w:r w:rsidRPr="00CD0665">
        <w:rPr>
          <w:rFonts w:asciiTheme="majorHAnsi" w:hAnsiTheme="majorHAnsi"/>
        </w:rPr>
        <w:t xml:space="preserve"> Regency. As a coastal area in the red zone prone to ecological disasters</w:t>
      </w:r>
      <w:r>
        <w:rPr>
          <w:rFonts w:asciiTheme="majorHAnsi" w:hAnsiTheme="majorHAnsi"/>
        </w:rPr>
        <w:t xml:space="preserve"> </w:t>
      </w:r>
      <w:r w:rsidRPr="00CD0665">
        <w:rPr>
          <w:rFonts w:asciiTheme="majorHAnsi" w:hAnsiTheme="majorHAnsi"/>
        </w:rPr>
        <w:t>including the threat of tsunamis, flash floods, and extreme weather</w:t>
      </w:r>
      <w:r>
        <w:rPr>
          <w:rFonts w:asciiTheme="majorHAnsi" w:hAnsiTheme="majorHAnsi"/>
        </w:rPr>
        <w:t xml:space="preserve"> </w:t>
      </w:r>
      <w:r w:rsidRPr="00CD0665">
        <w:rPr>
          <w:rFonts w:asciiTheme="majorHAnsi" w:hAnsiTheme="majorHAnsi"/>
        </w:rPr>
        <w:t xml:space="preserve">the dynamics of development in this region require high sensitivity. These geographical conditions give birth to new complexities in access to basic services between men and women. Based on aggregate data, women in </w:t>
      </w:r>
      <w:proofErr w:type="spellStart"/>
      <w:r w:rsidRPr="00CD0665">
        <w:rPr>
          <w:rFonts w:asciiTheme="majorHAnsi" w:hAnsiTheme="majorHAnsi"/>
        </w:rPr>
        <w:t>Donggala</w:t>
      </w:r>
      <w:proofErr w:type="spellEnd"/>
      <w:r w:rsidRPr="00CD0665">
        <w:rPr>
          <w:rFonts w:asciiTheme="majorHAnsi" w:hAnsiTheme="majorHAnsi"/>
        </w:rPr>
        <w:t xml:space="preserve"> Regency still face subordination in access to secondary education and formal employment opportunities, while in the domestic sphere, they bear a much higher workload </w:t>
      </w:r>
      <w:r w:rsidRPr="00CD0665">
        <w:rPr>
          <w:rFonts w:asciiTheme="majorHAnsi" w:hAnsiTheme="majorHAnsi"/>
        </w:rPr>
        <w:fldChar w:fldCharType="begin"/>
      </w:r>
      <w:r w:rsidRPr="00CD0665">
        <w:rPr>
          <w:rFonts w:asciiTheme="majorHAnsi" w:hAnsiTheme="majorHAnsi"/>
        </w:rPr>
        <w:instrText xml:space="preserve"> ADDIN ZOTERO_ITEM CSL_CITATION {"citationID":"uDYBrB6z","properties":{"formattedCitation":"(BPS Kabupaten Donggala, 2023)","plainCitation":"(BPS Kabupaten Donggala, 2023)","noteIndex":0},"citationItems":[{"id":108,"uris":["http://zotero.org/users/local/yobKiu6n/items/RWL6WESE"],"itemData":{"id":108,"type":"book","publisher":"Badan Pusat Statistik Kabupaten Donggala","title":"Kabupaten Donggala dalam angka 2023","author":[{"family":"BPS Kabupaten Donggala","given":""}],"issued":{"date-parts":[["2023"]]}}}],"schema":"https://github.com/citation-style-language/schema/raw/master/csl-citation.json"}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(BPS Kabupaten Donggala, 2023)</w:t>
      </w:r>
      <w:r w:rsidRPr="00CD0665">
        <w:rPr>
          <w:rFonts w:asciiTheme="majorHAnsi" w:hAnsiTheme="majorHAnsi"/>
        </w:rPr>
        <w:fldChar w:fldCharType="end"/>
      </w:r>
      <w:r w:rsidRPr="00CD0665">
        <w:rPr>
          <w:rFonts w:asciiTheme="majorHAnsi" w:hAnsiTheme="majorHAnsi"/>
        </w:rPr>
        <w:t xml:space="preserve">. This situation of inequality is amplified in the coastal villages of </w:t>
      </w:r>
      <w:proofErr w:type="spellStart"/>
      <w:r w:rsidRPr="00CD0665">
        <w:rPr>
          <w:rFonts w:asciiTheme="majorHAnsi" w:hAnsiTheme="majorHAnsi"/>
        </w:rPr>
        <w:t>Sirenja</w:t>
      </w:r>
      <w:proofErr w:type="spellEnd"/>
      <w:r w:rsidRPr="00CD0665">
        <w:rPr>
          <w:rFonts w:asciiTheme="majorHAnsi" w:hAnsiTheme="majorHAnsi"/>
        </w:rPr>
        <w:t xml:space="preserve"> District such as Lende Tovea, </w:t>
      </w:r>
      <w:proofErr w:type="spellStart"/>
      <w:r w:rsidRPr="00CD0665">
        <w:rPr>
          <w:rFonts w:asciiTheme="majorHAnsi" w:hAnsiTheme="majorHAnsi"/>
        </w:rPr>
        <w:t>Tompe</w:t>
      </w:r>
      <w:proofErr w:type="spellEnd"/>
      <w:r w:rsidRPr="00CD0665">
        <w:rPr>
          <w:rFonts w:asciiTheme="majorHAnsi" w:hAnsiTheme="majorHAnsi"/>
        </w:rPr>
        <w:t xml:space="preserve">, and Tondo. In this region, women play a crucial role in the value chain of household fisheries, yet their contribution is marginalized and not </w:t>
      </w:r>
      <w:proofErr w:type="spellStart"/>
      <w:r w:rsidRPr="00CD0665">
        <w:rPr>
          <w:rFonts w:asciiTheme="majorHAnsi" w:hAnsiTheme="majorHAnsi"/>
        </w:rPr>
        <w:t>recognised</w:t>
      </w:r>
      <w:proofErr w:type="spellEnd"/>
      <w:r w:rsidRPr="00CD0665">
        <w:rPr>
          <w:rFonts w:asciiTheme="majorHAnsi" w:hAnsiTheme="majorHAnsi"/>
        </w:rPr>
        <w:t xml:space="preserve"> as a major actor in formal economic statistics </w:t>
      </w:r>
      <w:r w:rsidRPr="00CD0665">
        <w:rPr>
          <w:rFonts w:asciiTheme="majorHAnsi" w:hAnsiTheme="majorHAnsi"/>
        </w:rPr>
        <w:fldChar w:fldCharType="begin"/>
      </w:r>
      <w:r w:rsidRPr="00CD0665">
        <w:rPr>
          <w:rFonts w:asciiTheme="majorHAnsi" w:hAnsiTheme="majorHAnsi"/>
        </w:rPr>
        <w:instrText xml:space="preserve"> ADDIN ZOTERO_ITEM CSL_CITATION {"citationID":"jSjBjpgh","properties":{"formattedCitation":"(Nurlaili &amp; Muhartono, 2017)","plainCitation":"(Nurlaili &amp; Muhartono, 2017)","noteIndex":0},"citationItems":[{"id":74,"uris":["http://zotero.org/users/local/yobKiu6n/items/P3ZTD3JH"],"itemData":{"id":74,"type":"article-journal","DOI":"10.15578/jsekp.v12i2.6481","publisher":"Jurnal Sosial Ekonomi Kelautan dan Perikanan","title":"PERAN PEREMPUAN NELAYAN DALAM USAHA PERIKANAN TANGKAP DAN PENINGKATAN EKONOMI RUMAH TANGGA PESISIR TELUK JAKARTA","volume":"12","author":[{"family":"Nurlaili","given":"Nurlaili"},{"family":"Muhartono","given":"Rizky"}],"issued":{"date-parts":[["2017"]]}}}],"schema":"https://github.com/citation-style-language/schema/raw/master/csl-citation.json"}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(Nurlaili &amp; Muhartono, 2017)</w:t>
      </w:r>
      <w:r w:rsidRPr="00CD0665">
        <w:rPr>
          <w:rFonts w:asciiTheme="majorHAnsi" w:hAnsiTheme="majorHAnsi"/>
        </w:rPr>
        <w:fldChar w:fldCharType="end"/>
      </w:r>
      <w:r w:rsidRPr="00CD0665">
        <w:rPr>
          <w:rFonts w:asciiTheme="majorHAnsi" w:hAnsiTheme="majorHAnsi"/>
        </w:rPr>
        <w:t xml:space="preserve">. This phenomenon reflects the concept of </w:t>
      </w:r>
      <w:r w:rsidRPr="00CD0665">
        <w:rPr>
          <w:rFonts w:asciiTheme="majorHAnsi" w:hAnsiTheme="majorHAnsi"/>
          <w:i/>
          <w:iCs/>
        </w:rPr>
        <w:t>double vulnerability</w:t>
      </w:r>
      <w:r w:rsidRPr="00CD0665">
        <w:rPr>
          <w:rFonts w:asciiTheme="majorHAnsi" w:hAnsiTheme="majorHAnsi"/>
        </w:rPr>
        <w:t xml:space="preserve"> (dual vulnerability), where women in disaster-prone areas face a dual risk: gender inequality rooted in socio-cultural structures and direct exposure to hydrometeorological disaster risk </w:t>
      </w:r>
      <w:r w:rsidRPr="00CD0665">
        <w:rPr>
          <w:rFonts w:asciiTheme="majorHAnsi" w:hAnsiTheme="majorHAnsi"/>
        </w:rPr>
        <w:fldChar w:fldCharType="begin"/>
      </w:r>
      <w:r w:rsidRPr="00CD0665">
        <w:rPr>
          <w:rFonts w:asciiTheme="majorHAnsi" w:hAnsiTheme="majorHAnsi"/>
        </w:rPr>
        <w:instrText xml:space="preserve"> ADDIN ZOTERO_ITEM CSL_CITATION {"citationID":"6JdqRDtL","properties":{"formattedCitation":"(Misrina &amp; Wicaksono, 2025)","plainCitation":"(Misrina &amp; Wicaksono, 2025)","noteIndex":0},"citationItems":[{"id":75,"uris":["http://zotero.org/users/local/yobKiu6n/items/T4TRTLWH"],"itemData":{"id":75,"type":"article-journal","DOI":"https://doi.org/10.31004/joecy.v5i2.1155","publisher":"Journal of Innovative and Creativity","title":"Resiliensi Perempuan Pesisir Menghadapi Perubahan Iklim.","volume":"5(2)","author":[{"family":"Misrina","given":"M"},{"family":"Wicaksono","given":"Muhammad Arif"}],"issued":{"date-parts":[["2025"]]}}}],"schema":"https://github.com/citation-style-language/schema/raw/master/csl-citation.json"}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(Misrina &amp; Wicaksono, 2025)</w:t>
      </w:r>
      <w:r w:rsidRPr="00CD0665">
        <w:rPr>
          <w:rFonts w:asciiTheme="majorHAnsi" w:hAnsiTheme="majorHAnsi"/>
        </w:rPr>
        <w:fldChar w:fldCharType="end"/>
      </w:r>
      <w:r w:rsidRPr="00CD0665">
        <w:rPr>
          <w:rFonts w:asciiTheme="majorHAnsi" w:hAnsiTheme="majorHAnsi"/>
          <w:i/>
          <w:iCs/>
        </w:rPr>
        <w:t>.</w:t>
      </w:r>
      <w:r w:rsidRPr="00CD0665">
        <w:rPr>
          <w:rFonts w:asciiTheme="majorHAnsi" w:hAnsiTheme="majorHAnsi"/>
        </w:rPr>
        <w:t xml:space="preserve"> The emergency conditions that continue to loom over this coastal area demand the role of </w:t>
      </w:r>
      <w:r w:rsidRPr="00CD0665">
        <w:rPr>
          <w:rFonts w:asciiTheme="majorHAnsi" w:hAnsiTheme="majorHAnsi"/>
          <w:i/>
          <w:iCs/>
        </w:rPr>
        <w:t>Focal Point</w:t>
      </w:r>
      <w:r w:rsidRPr="00CD0665">
        <w:rPr>
          <w:rFonts w:asciiTheme="majorHAnsi" w:hAnsiTheme="majorHAnsi"/>
        </w:rPr>
        <w:t xml:space="preserve"> that is not only responsive in a regulatory manner, but also sharp in identifying gender gaps across sectors through the preparation of </w:t>
      </w:r>
      <w:r w:rsidRPr="00CD0665">
        <w:rPr>
          <w:rFonts w:asciiTheme="majorHAnsi" w:hAnsiTheme="majorHAnsi"/>
          <w:i/>
          <w:iCs/>
        </w:rPr>
        <w:t>Gender Analysis Pathway</w:t>
      </w:r>
      <w:r w:rsidRPr="00CD0665">
        <w:rPr>
          <w:rFonts w:asciiTheme="majorHAnsi" w:hAnsiTheme="majorHAnsi"/>
        </w:rPr>
        <w:t xml:space="preserve"> (GAP) and </w:t>
      </w:r>
      <w:r w:rsidRPr="00CD0665">
        <w:rPr>
          <w:rFonts w:asciiTheme="majorHAnsi" w:hAnsiTheme="majorHAnsi"/>
          <w:i/>
          <w:iCs/>
        </w:rPr>
        <w:t>Gender Budget Statement</w:t>
      </w:r>
      <w:r w:rsidRPr="00CD0665">
        <w:rPr>
          <w:rFonts w:asciiTheme="majorHAnsi" w:hAnsiTheme="majorHAnsi"/>
        </w:rPr>
        <w:t xml:space="preserve"> (GBS) which is based on micro data.</w:t>
      </w:r>
    </w:p>
    <w:p w14:paraId="39D54CE1" w14:textId="1AB190F6" w:rsidR="00CD0665" w:rsidRPr="00CD0665" w:rsidRDefault="00CD0665" w:rsidP="00CD0665">
      <w:pPr>
        <w:pStyle w:val="NormalWeb"/>
        <w:ind w:firstLine="426"/>
        <w:jc w:val="both"/>
        <w:rPr>
          <w:rFonts w:asciiTheme="majorHAnsi" w:hAnsiTheme="majorHAnsi"/>
        </w:rPr>
      </w:pPr>
      <w:r w:rsidRPr="00CD0665">
        <w:rPr>
          <w:rFonts w:asciiTheme="majorHAnsi" w:hAnsiTheme="majorHAnsi"/>
        </w:rPr>
        <w:t xml:space="preserve">Nonetheless, previous academic discourses have found that the institutionalization of PUG at the local level is still far from ideal. Study by </w:t>
      </w:r>
      <w:r w:rsidRPr="00CD0665">
        <w:rPr>
          <w:rFonts w:asciiTheme="majorHAnsi" w:hAnsiTheme="majorHAnsi"/>
        </w:rPr>
        <w:fldChar w:fldCharType="begin"/>
      </w:r>
      <w:r w:rsidRPr="00CD0665">
        <w:rPr>
          <w:rFonts w:asciiTheme="majorHAnsi" w:hAnsiTheme="majorHAnsi"/>
        </w:rPr>
        <w:instrText xml:space="preserve"> ADDIN ZOTERO_ITEM CSL_CITATION {"citationID":"JYMqDLJ7","properties":{"formattedCitation":"(Ismail dkk., 2020)","plainCitation":"(Ismail dkk., 2020)","dontUpdate":true,"noteIndex":0},"citationItems":[{"id":76,"uris":["http://zotero.org/users/local/yobKiu6n/items/9MVGEEBI"],"itemData":{"id":76,"type":"article-journal","ISSN":"2622-691X","page":"831-848","publisher":"Jurnal MODERAT","title":"PENGUATAN KELEMBAGAAN PENGARUSUTAMAAN GENDER DAN ANAK (Studi Implementasi Kebijakan pada Dinas Pemberdayaan Perempuan Dan Perlindungan Anak Kabupaten Karawang)","volume":"6(4)","author":[{"family":"Ismail","given":"Kristina"},{"family":"Yulyana","given":"Eka"},{"family":"Priyanti","given":"Evi"}],"issued":{"date-parts":[["2020"]]}}}],"schema":"https://github.com/citation-style-language/schema/raw/master/csl-citation.json"}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 xml:space="preserve">Ismail </w:t>
      </w:r>
      <w:r>
        <w:rPr>
          <w:rFonts w:asciiTheme="majorHAnsi" w:hAnsiTheme="majorHAnsi"/>
          <w:noProof/>
        </w:rPr>
        <w:t>et al</w:t>
      </w:r>
      <w:r w:rsidRPr="00CD0665">
        <w:rPr>
          <w:rFonts w:asciiTheme="majorHAnsi" w:hAnsiTheme="majorHAnsi"/>
          <w:noProof/>
        </w:rPr>
        <w:t>, (2020)</w:t>
      </w:r>
      <w:r w:rsidRPr="00CD0665">
        <w:rPr>
          <w:rFonts w:asciiTheme="majorHAnsi" w:hAnsiTheme="majorHAnsi"/>
        </w:rPr>
        <w:fldChar w:fldCharType="end"/>
      </w:r>
      <w:r w:rsidRPr="00CD0665">
        <w:rPr>
          <w:rFonts w:asciiTheme="majorHAnsi" w:hAnsiTheme="majorHAnsi"/>
        </w:rPr>
        <w:t xml:space="preserve"> and </w:t>
      </w:r>
      <w:r w:rsidRPr="00CD0665">
        <w:rPr>
          <w:rFonts w:asciiTheme="majorHAnsi" w:hAnsiTheme="majorHAnsi"/>
        </w:rPr>
        <w:fldChar w:fldCharType="begin"/>
      </w:r>
      <w:r w:rsidRPr="00CD0665">
        <w:rPr>
          <w:rFonts w:asciiTheme="majorHAnsi" w:hAnsiTheme="majorHAnsi"/>
        </w:rPr>
        <w:instrText xml:space="preserve"> ADDIN ZOTERO_ITEM CSL_CITATION {"citationID":"m0wcllI9","properties":{"formattedCitation":"(Soleha &amp; Afriyanni, 2021)","plainCitation":"(Soleha &amp; Afriyanni, 2021)","noteIndex":0},"citationItems":[{"id":77,"uris":["http://zotero.org/users/local/yobKiu6n/items/WUDYIM5Q"],"itemData":{"id":77,"type":"article-journal","DOI":"https://doi.org/10.31258/sorot.16.2.71-84","ISSN":"2623-1875","page":"71-84","publisher":"SOROT: Jurnal Ilmu-ilmu Sosial","title":"Evaluasi Pelaksanaan Pengarusutamaan Gender (PUG) kota Pekanbaru","volume":"16(2)","author":[{"family":"Soleha","given":"Siti"},{"family":"Afriyanni","given":"Afriyanni"}],"issued":{"date-parts":[["2021"]]}}}],"schema":"https://github.com/citation-style-language/schema/raw/master/csl-citation.json"}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Soleha &amp; Afriyanni (2021)</w:t>
      </w:r>
      <w:r w:rsidRPr="00CD0665">
        <w:rPr>
          <w:rFonts w:asciiTheme="majorHAnsi" w:hAnsiTheme="majorHAnsi"/>
        </w:rPr>
        <w:fldChar w:fldCharType="end"/>
      </w:r>
      <w:r w:rsidRPr="00CD0665">
        <w:rPr>
          <w:rFonts w:asciiTheme="majorHAnsi" w:hAnsiTheme="majorHAnsi"/>
        </w:rPr>
        <w:t xml:space="preserve"> highlights that the </w:t>
      </w:r>
      <w:r w:rsidRPr="00CD0665">
        <w:rPr>
          <w:rFonts w:asciiTheme="majorHAnsi" w:hAnsiTheme="majorHAnsi"/>
          <w:i/>
          <w:iCs/>
        </w:rPr>
        <w:t>Focal Point</w:t>
      </w:r>
      <w:r w:rsidRPr="00CD0665">
        <w:rPr>
          <w:rFonts w:asciiTheme="majorHAnsi" w:hAnsiTheme="majorHAnsi"/>
        </w:rPr>
        <w:t xml:space="preserve"> PUGs at the regional level tend to be degraded to mere "complementary administrative documents" (</w:t>
      </w:r>
      <w:r w:rsidRPr="00CD0665">
        <w:rPr>
          <w:rFonts w:asciiTheme="majorHAnsi" w:hAnsiTheme="majorHAnsi"/>
          <w:i/>
          <w:iCs/>
        </w:rPr>
        <w:t>administrative compliance</w:t>
      </w:r>
      <w:r w:rsidRPr="00CD0665">
        <w:rPr>
          <w:rFonts w:asciiTheme="majorHAnsi" w:hAnsiTheme="majorHAnsi"/>
        </w:rPr>
        <w:t xml:space="preserve">) due to the lack of commitment of the leadership. However, the majority of the literature currently is still focused on institutional analysis at the provincial or district level of cities that have more adequate resource support. Studies that comprehensively examine the effectiveness of </w:t>
      </w:r>
      <w:r w:rsidRPr="00CD0665">
        <w:rPr>
          <w:rFonts w:asciiTheme="majorHAnsi" w:hAnsiTheme="majorHAnsi"/>
          <w:i/>
          <w:iCs/>
        </w:rPr>
        <w:t>Focal Point</w:t>
      </w:r>
      <w:r w:rsidRPr="00CD0665">
        <w:rPr>
          <w:rFonts w:asciiTheme="majorHAnsi" w:hAnsiTheme="majorHAnsi"/>
        </w:rPr>
        <w:t xml:space="preserve"> PUG at the sub-district level</w:t>
      </w:r>
      <w:r>
        <w:rPr>
          <w:rFonts w:asciiTheme="majorHAnsi" w:hAnsiTheme="majorHAnsi"/>
        </w:rPr>
        <w:t xml:space="preserve"> </w:t>
      </w:r>
      <w:r w:rsidRPr="00CD0665">
        <w:rPr>
          <w:rFonts w:asciiTheme="majorHAnsi" w:hAnsiTheme="majorHAnsi"/>
        </w:rPr>
        <w:t>as the spearhead of services that directly intersect with the community</w:t>
      </w:r>
      <w:r>
        <w:rPr>
          <w:rFonts w:asciiTheme="majorHAnsi" w:hAnsiTheme="majorHAnsi"/>
        </w:rPr>
        <w:t xml:space="preserve"> </w:t>
      </w:r>
      <w:r w:rsidRPr="00CD0665">
        <w:rPr>
          <w:rFonts w:asciiTheme="majorHAnsi" w:hAnsiTheme="majorHAnsi"/>
        </w:rPr>
        <w:t xml:space="preserve">especially in the context of intersectionality between gender and coastal disaster vulnerability, is still very limited. This research is here to fill the gap in literature by critically analyzing the policy transition from administrative compliance to institutionalized gender responsiveness in </w:t>
      </w:r>
      <w:proofErr w:type="spellStart"/>
      <w:r w:rsidRPr="00CD0665">
        <w:rPr>
          <w:rFonts w:asciiTheme="majorHAnsi" w:hAnsiTheme="majorHAnsi"/>
        </w:rPr>
        <w:t>Sirenja</w:t>
      </w:r>
      <w:proofErr w:type="spellEnd"/>
      <w:r w:rsidRPr="00CD0665">
        <w:rPr>
          <w:rFonts w:asciiTheme="majorHAnsi" w:hAnsiTheme="majorHAnsi"/>
        </w:rPr>
        <w:t xml:space="preserve"> District.</w:t>
      </w:r>
    </w:p>
    <w:p w14:paraId="368381A2" w14:textId="76C5981E" w:rsidR="00CD0665" w:rsidRPr="00CD0665" w:rsidRDefault="00CD0665" w:rsidP="00CD0665">
      <w:pPr>
        <w:pStyle w:val="NormalWeb"/>
        <w:ind w:firstLine="426"/>
        <w:jc w:val="both"/>
        <w:rPr>
          <w:rFonts w:asciiTheme="majorHAnsi" w:hAnsiTheme="majorHAnsi"/>
        </w:rPr>
      </w:pPr>
      <w:r w:rsidRPr="00CD0665">
        <w:rPr>
          <w:rFonts w:asciiTheme="majorHAnsi" w:hAnsiTheme="majorHAnsi"/>
        </w:rPr>
        <w:lastRenderedPageBreak/>
        <w:t xml:space="preserve">Scientific novelty of this article lies in the exploration of inhibiting factors that are interconnected in high-risk areas. The implementation of PPRG in </w:t>
      </w:r>
      <w:proofErr w:type="spellStart"/>
      <w:r w:rsidRPr="00CD0665">
        <w:rPr>
          <w:rFonts w:asciiTheme="majorHAnsi" w:hAnsiTheme="majorHAnsi"/>
        </w:rPr>
        <w:t>Sirenja</w:t>
      </w:r>
      <w:proofErr w:type="spellEnd"/>
      <w:r w:rsidRPr="00CD0665">
        <w:rPr>
          <w:rFonts w:asciiTheme="majorHAnsi" w:hAnsiTheme="majorHAnsi"/>
        </w:rPr>
        <w:t xml:space="preserve"> District was identified to face three crucial anomalies. </w:t>
      </w:r>
      <w:r w:rsidRPr="00CD0665">
        <w:rPr>
          <w:rFonts w:asciiTheme="majorHAnsi" w:hAnsiTheme="majorHAnsi"/>
          <w:i/>
          <w:iCs/>
        </w:rPr>
        <w:t>First</w:t>
      </w:r>
      <w:r w:rsidRPr="00CD0665">
        <w:rPr>
          <w:rFonts w:asciiTheme="majorHAnsi" w:hAnsiTheme="majorHAnsi"/>
        </w:rPr>
        <w:t xml:space="preserve">, significant technical obstacles in the preparation of the GAP-GBS instrument by </w:t>
      </w:r>
      <w:r w:rsidRPr="00CD0665">
        <w:rPr>
          <w:rFonts w:asciiTheme="majorHAnsi" w:hAnsiTheme="majorHAnsi"/>
          <w:i/>
          <w:iCs/>
        </w:rPr>
        <w:t>Focal Point</w:t>
      </w:r>
      <w:r w:rsidRPr="00CD0665">
        <w:rPr>
          <w:rFonts w:asciiTheme="majorHAnsi" w:hAnsiTheme="majorHAnsi"/>
        </w:rPr>
        <w:t xml:space="preserve">, exacerbated by the absence of gender-disaggregated data on essential sectors such as disaster mitigation and economic resilience. This weakness causes the planning formulation to be shallow and does not touch the root of the problem </w:t>
      </w:r>
      <w:r w:rsidRPr="00CD0665">
        <w:rPr>
          <w:rFonts w:asciiTheme="majorHAnsi" w:hAnsiTheme="majorHAnsi"/>
        </w:rPr>
        <w:fldChar w:fldCharType="begin"/>
      </w:r>
      <w:r w:rsidRPr="00CD0665">
        <w:rPr>
          <w:rFonts w:asciiTheme="majorHAnsi" w:hAnsiTheme="majorHAnsi"/>
        </w:rPr>
        <w:instrText xml:space="preserve"> ADDIN ZOTERO_ITEM CSL_CITATION {"citationID":"u444CCXJ","properties":{"formattedCitation":"(Sugiyono, 2023)","plainCitation":"(Sugiyono, 2023)","noteIndex":0},"citationItems":[{"id":78,"uris":["http://zotero.org/users/local/yobKiu6n/items/F3Y7ZVWL"],"itemData":{"id":78,"type":"article-journal","ISSN":"2721-2440","page":"143-156","publisher":"Jurnal Widyaiswara Indonesia","title":"Analisis Perencanaan dan Penganggaran Responsif Gender (Studi Kasus Dinas Koperasi, UKM Provinsi Kalimantan Selatan)","volume":"4(4)","author":[{"family":"Sugiyono","given":""}],"issued":{"date-parts":[["2023"]]}}}],"schema":"https://github.com/citation-style-language/schema/raw/master/csl-citation.json"} </w:instrText>
      </w:r>
      <w:r w:rsidRPr="00CD0665">
        <w:rPr>
          <w:rFonts w:asciiTheme="majorHAnsi" w:hAnsiTheme="majorHAnsi"/>
        </w:rPr>
        <w:fldChar w:fldCharType="separate"/>
      </w:r>
      <w:r w:rsidRPr="00CD0665">
        <w:rPr>
          <w:rFonts w:asciiTheme="majorHAnsi" w:hAnsiTheme="majorHAnsi"/>
          <w:noProof/>
        </w:rPr>
        <w:t>(Scott, 2023)</w:t>
      </w:r>
      <w:r w:rsidRPr="00CD0665">
        <w:rPr>
          <w:rFonts w:asciiTheme="majorHAnsi" w:hAnsiTheme="majorHAnsi"/>
        </w:rPr>
        <w:fldChar w:fldCharType="end"/>
      </w:r>
      <w:r w:rsidRPr="00CD0665">
        <w:rPr>
          <w:rFonts w:asciiTheme="majorHAnsi" w:hAnsiTheme="majorHAnsi"/>
        </w:rPr>
        <w:t xml:space="preserve">. </w:t>
      </w:r>
      <w:r w:rsidRPr="00CD0665">
        <w:rPr>
          <w:rFonts w:asciiTheme="majorHAnsi" w:hAnsiTheme="majorHAnsi"/>
          <w:i/>
          <w:iCs/>
        </w:rPr>
        <w:t>Second</w:t>
      </w:r>
      <w:r w:rsidRPr="00CD0665">
        <w:rPr>
          <w:rFonts w:asciiTheme="majorHAnsi" w:hAnsiTheme="majorHAnsi"/>
        </w:rPr>
        <w:t xml:space="preserve">, the stagnation of horizontal coordination between work units that are still trapped in a silo (sectoral) mentality, causes PUG's strategic recommendations to fail to transform into adequate budget allocations. </w:t>
      </w:r>
      <w:r w:rsidRPr="00CD0665">
        <w:rPr>
          <w:rFonts w:asciiTheme="majorHAnsi" w:hAnsiTheme="majorHAnsi"/>
          <w:i/>
          <w:iCs/>
        </w:rPr>
        <w:t>Third</w:t>
      </w:r>
      <w:r w:rsidRPr="00CD0665">
        <w:rPr>
          <w:rFonts w:asciiTheme="majorHAnsi" w:hAnsiTheme="majorHAnsi"/>
        </w:rPr>
        <w:t>, fluctuations in leadership commitment (</w:t>
      </w:r>
      <w:r w:rsidRPr="00CD0665">
        <w:rPr>
          <w:rFonts w:asciiTheme="majorHAnsi" w:hAnsiTheme="majorHAnsi"/>
          <w:i/>
          <w:iCs/>
        </w:rPr>
        <w:t>political will</w:t>
      </w:r>
      <w:r w:rsidRPr="00CD0665">
        <w:rPr>
          <w:rFonts w:asciiTheme="majorHAnsi" w:hAnsiTheme="majorHAnsi"/>
        </w:rPr>
        <w:t xml:space="preserve">) at the sub-district level that directly affects the legitimacy of the </w:t>
      </w:r>
      <w:r w:rsidRPr="00CD0665">
        <w:rPr>
          <w:rFonts w:asciiTheme="majorHAnsi" w:hAnsiTheme="majorHAnsi"/>
          <w:i/>
          <w:iCs/>
        </w:rPr>
        <w:t>Focal Point</w:t>
      </w:r>
      <w:r w:rsidRPr="00CD0665">
        <w:rPr>
          <w:rFonts w:asciiTheme="majorHAnsi" w:hAnsiTheme="majorHAnsi"/>
        </w:rPr>
        <w:t xml:space="preserve">, where gender issues are still subordinated as a purely complementary agenda. Based on this rationalization, this article aims to analyze in depth the structural, institutional, and political commitment factors that affect the effectiveness of the implementation of Gender Responsive Development Planning (PPRG) by </w:t>
      </w:r>
      <w:r w:rsidRPr="00CD0665">
        <w:rPr>
          <w:rFonts w:asciiTheme="majorHAnsi" w:hAnsiTheme="majorHAnsi"/>
          <w:i/>
          <w:iCs/>
        </w:rPr>
        <w:t>Focal Point</w:t>
      </w:r>
      <w:r w:rsidRPr="00CD0665">
        <w:rPr>
          <w:rFonts w:asciiTheme="majorHAnsi" w:hAnsiTheme="majorHAnsi"/>
        </w:rPr>
        <w:t xml:space="preserve"> PUG in </w:t>
      </w:r>
      <w:proofErr w:type="spellStart"/>
      <w:r w:rsidRPr="00CD0665">
        <w:rPr>
          <w:rFonts w:asciiTheme="majorHAnsi" w:hAnsiTheme="majorHAnsi"/>
        </w:rPr>
        <w:t>Sirenja</w:t>
      </w:r>
      <w:proofErr w:type="spellEnd"/>
      <w:r w:rsidRPr="00CD0665">
        <w:rPr>
          <w:rFonts w:asciiTheme="majorHAnsi" w:hAnsiTheme="majorHAnsi"/>
        </w:rPr>
        <w:t xml:space="preserve"> District, </w:t>
      </w:r>
      <w:proofErr w:type="spellStart"/>
      <w:r w:rsidRPr="00CD0665">
        <w:rPr>
          <w:rFonts w:asciiTheme="majorHAnsi" w:hAnsiTheme="majorHAnsi"/>
        </w:rPr>
        <w:t>Donggala</w:t>
      </w:r>
      <w:proofErr w:type="spellEnd"/>
      <w:r w:rsidRPr="00CD0665">
        <w:rPr>
          <w:rFonts w:asciiTheme="majorHAnsi" w:hAnsiTheme="majorHAnsi"/>
        </w:rPr>
        <w:t xml:space="preserve"> Regency.</w:t>
      </w:r>
    </w:p>
    <w:p w14:paraId="0B72E23A" w14:textId="77777777" w:rsidR="000F1938" w:rsidRDefault="000F1938">
      <w:pPr>
        <w:jc w:val="both"/>
        <w:rPr>
          <w:rFonts w:ascii="Lustria" w:eastAsia="Lustria" w:hAnsi="Lustria" w:cs="Lustria"/>
        </w:rPr>
      </w:pPr>
    </w:p>
    <w:p w14:paraId="515D76AE" w14:textId="77777777" w:rsidR="000F1938" w:rsidRDefault="00000000">
      <w:pPr>
        <w:numPr>
          <w:ilvl w:val="0"/>
          <w:numId w:val="1"/>
        </w:numPr>
        <w:pBdr>
          <w:top w:val="nil"/>
          <w:left w:val="nil"/>
          <w:bottom w:val="nil"/>
          <w:right w:val="nil"/>
          <w:between w:val="nil"/>
        </w:pBdr>
        <w:spacing w:after="160" w:line="259" w:lineRule="auto"/>
        <w:ind w:left="426" w:hanging="426"/>
        <w:jc w:val="both"/>
        <w:rPr>
          <w:rFonts w:ascii="Lustria" w:eastAsia="Lustria" w:hAnsi="Lustria" w:cs="Lustria"/>
          <w:b/>
          <w:color w:val="000000"/>
        </w:rPr>
      </w:pPr>
      <w:r>
        <w:rPr>
          <w:rFonts w:ascii="Lustria" w:eastAsia="Lustria" w:hAnsi="Lustria" w:cs="Lustria"/>
          <w:b/>
          <w:color w:val="000000"/>
        </w:rPr>
        <w:t>Research Method</w:t>
      </w:r>
    </w:p>
    <w:p w14:paraId="64445BDA" w14:textId="61047083" w:rsidR="00E2714F" w:rsidRDefault="000A562F" w:rsidP="00E2714F">
      <w:pPr>
        <w:pStyle w:val="NormalWeb"/>
        <w:ind w:firstLine="426"/>
        <w:jc w:val="both"/>
        <w:rPr>
          <w:rFonts w:asciiTheme="majorHAnsi" w:hAnsiTheme="majorHAnsi"/>
        </w:rPr>
      </w:pPr>
      <w:r w:rsidRPr="000A562F">
        <w:rPr>
          <w:rFonts w:asciiTheme="majorHAnsi" w:hAnsiTheme="majorHAnsi"/>
        </w:rPr>
        <w:t xml:space="preserve">This study uses a qualitative approach with a descriptive case study design </w:t>
      </w:r>
      <w:r w:rsidRPr="000A562F">
        <w:rPr>
          <w:rFonts w:asciiTheme="majorHAnsi" w:hAnsiTheme="majorHAnsi"/>
        </w:rPr>
        <w:fldChar w:fldCharType="begin"/>
      </w:r>
      <w:r w:rsidRPr="000A562F">
        <w:rPr>
          <w:rFonts w:asciiTheme="majorHAnsi" w:hAnsiTheme="majorHAnsi"/>
        </w:rPr>
        <w:instrText xml:space="preserve"> ADDIN ZOTERO_ITEM CSL_CITATION {"citationID":"RNDlfGhb","properties":{"formattedCitation":"(Creswell &amp; Poth, 2018)","plainCitation":"(Creswell &amp; Poth, 2018)","noteIndex":0},"citationItems":[{"id":79,"uris":["http://zotero.org/users/local/yobKiu6n/items/2K4BHC8X"],"itemData":{"id":79,"type":"book","edition":"4th Edition","publisher":"SAGE Publications","title":"Qualitative Inquiry and Research Design Choosing among Five Approaches.","author":[{"family":"Creswell","given":"J.W"},{"family":"Poth","given":"C.N"}],"issued":{"date-parts":[["2018"]]}}}],"schema":"https://github.com/citation-style-language/schema/raw/master/csl-citation.json"} </w:instrText>
      </w:r>
      <w:r w:rsidRPr="000A562F">
        <w:rPr>
          <w:rFonts w:asciiTheme="majorHAnsi" w:hAnsiTheme="majorHAnsi"/>
        </w:rPr>
        <w:fldChar w:fldCharType="separate"/>
      </w:r>
      <w:r w:rsidRPr="000A562F">
        <w:rPr>
          <w:rFonts w:asciiTheme="majorHAnsi" w:hAnsiTheme="majorHAnsi"/>
          <w:noProof/>
        </w:rPr>
        <w:t>(Creswell &amp; Poth, 2018)</w:t>
      </w:r>
      <w:r w:rsidRPr="000A562F">
        <w:rPr>
          <w:rFonts w:asciiTheme="majorHAnsi" w:hAnsiTheme="majorHAnsi"/>
        </w:rPr>
        <w:fldChar w:fldCharType="end"/>
      </w:r>
      <w:r w:rsidRPr="000A562F">
        <w:rPr>
          <w:rFonts w:asciiTheme="majorHAnsi" w:hAnsiTheme="majorHAnsi"/>
        </w:rPr>
        <w:t xml:space="preserve"> to dissect in depth and naturalistic the dynamics of the implementation of Gender Responsive Development Planning (PPRG) in </w:t>
      </w:r>
      <w:proofErr w:type="spellStart"/>
      <w:r w:rsidRPr="000A562F">
        <w:rPr>
          <w:rFonts w:asciiTheme="majorHAnsi" w:hAnsiTheme="majorHAnsi"/>
        </w:rPr>
        <w:t>Sirenja</w:t>
      </w:r>
      <w:proofErr w:type="spellEnd"/>
      <w:r w:rsidRPr="000A562F">
        <w:rPr>
          <w:rFonts w:asciiTheme="majorHAnsi" w:hAnsiTheme="majorHAnsi"/>
        </w:rPr>
        <w:t xml:space="preserve"> District, </w:t>
      </w:r>
      <w:proofErr w:type="spellStart"/>
      <w:r w:rsidRPr="000A562F">
        <w:rPr>
          <w:rFonts w:asciiTheme="majorHAnsi" w:hAnsiTheme="majorHAnsi"/>
        </w:rPr>
        <w:t>Donggala</w:t>
      </w:r>
      <w:proofErr w:type="spellEnd"/>
      <w:r w:rsidRPr="000A562F">
        <w:rPr>
          <w:rFonts w:asciiTheme="majorHAnsi" w:hAnsiTheme="majorHAnsi"/>
        </w:rPr>
        <w:t xml:space="preserve"> Regency. This design was chosen because the phenomenon of policy evaluation</w:t>
      </w:r>
      <w:r w:rsidR="00CD0665">
        <w:rPr>
          <w:rFonts w:asciiTheme="majorHAnsi" w:hAnsiTheme="majorHAnsi"/>
        </w:rPr>
        <w:t xml:space="preserve"> </w:t>
      </w:r>
      <w:r w:rsidRPr="000A562F">
        <w:rPr>
          <w:rFonts w:asciiTheme="majorHAnsi" w:hAnsiTheme="majorHAnsi"/>
        </w:rPr>
        <w:t>especially those that intersect with gender issues, institutional capacity, and coastal vulnerability</w:t>
      </w:r>
      <w:r w:rsidR="00CD0665">
        <w:rPr>
          <w:rFonts w:asciiTheme="majorHAnsi" w:hAnsiTheme="majorHAnsi"/>
        </w:rPr>
        <w:t xml:space="preserve"> </w:t>
      </w:r>
      <w:r w:rsidRPr="000A562F">
        <w:rPr>
          <w:rFonts w:asciiTheme="majorHAnsi" w:hAnsiTheme="majorHAnsi"/>
        </w:rPr>
        <w:t xml:space="preserve">requires a rich contextual understanding and cannot be reduced to mere statistical numbers. The selection of informants in this study was carried out through techniques </w:t>
      </w:r>
      <w:r w:rsidRPr="000A562F">
        <w:rPr>
          <w:rFonts w:asciiTheme="majorHAnsi" w:hAnsiTheme="majorHAnsi"/>
          <w:i/>
          <w:iCs/>
        </w:rPr>
        <w:t>purposive sampling</w:t>
      </w:r>
      <w:r w:rsidRPr="000A562F">
        <w:rPr>
          <w:rFonts w:asciiTheme="majorHAnsi" w:hAnsiTheme="majorHAnsi"/>
        </w:rPr>
        <w:t>, which is based on criteria of information mastery, direct involvement in the policy cycle, and stakeholder representation (</w:t>
      </w:r>
      <w:r w:rsidRPr="000A562F">
        <w:rPr>
          <w:rFonts w:asciiTheme="majorHAnsi" w:hAnsiTheme="majorHAnsi"/>
          <w:i/>
          <w:iCs/>
        </w:rPr>
        <w:t>stakeholders</w:t>
      </w:r>
      <w:r w:rsidRPr="000A562F">
        <w:rPr>
          <w:rFonts w:asciiTheme="majorHAnsi" w:hAnsiTheme="majorHAnsi"/>
        </w:rPr>
        <w:t xml:space="preserve">) at the district, sub-district and village levels. The participants involved consisted of bureaucratic elements (Women's Empowerment and Child Protection Office, Sub-district Head/Sub-district Secretary, planning apparatus/Focal Point PUG of Districts), village government elements (Village Heads and Village Secretaries), basic service elements (Principals and Teachers), community empowerment elements (Human Development Cadres/KPM, Women and Children Protection Task Force/PPA), and civil society elements (representatives of NGOs and local women's organizations). This multisectoral selection is deliberately designed to capture the perspective of the </w:t>
      </w:r>
      <w:r w:rsidRPr="000A562F">
        <w:rPr>
          <w:rFonts w:asciiTheme="majorHAnsi" w:hAnsiTheme="majorHAnsi"/>
          <w:i/>
          <w:iCs/>
        </w:rPr>
        <w:t>Supply</w:t>
      </w:r>
      <w:r w:rsidRPr="000A562F">
        <w:rPr>
          <w:rFonts w:asciiTheme="majorHAnsi" w:hAnsiTheme="majorHAnsi"/>
        </w:rPr>
        <w:t xml:space="preserve"> (service provider/policy) or </w:t>
      </w:r>
      <w:r w:rsidRPr="000A562F">
        <w:rPr>
          <w:rFonts w:asciiTheme="majorHAnsi" w:hAnsiTheme="majorHAnsi"/>
          <w:i/>
          <w:iCs/>
        </w:rPr>
        <w:t>Demand</w:t>
      </w:r>
      <w:r w:rsidRPr="000A562F">
        <w:rPr>
          <w:rFonts w:asciiTheme="majorHAnsi" w:hAnsiTheme="majorHAnsi"/>
        </w:rPr>
        <w:t xml:space="preserve"> (beneficiaries), so that the data obtained in its entirety represents the institutional complexity and the reality of the community in the field.</w:t>
      </w:r>
    </w:p>
    <w:p w14:paraId="5FEF8774" w14:textId="4615A4D6" w:rsidR="00E2714F" w:rsidRDefault="000A562F" w:rsidP="00E2714F">
      <w:pPr>
        <w:pStyle w:val="NormalWeb"/>
        <w:ind w:firstLine="426"/>
        <w:jc w:val="both"/>
        <w:rPr>
          <w:rFonts w:asciiTheme="majorHAnsi" w:hAnsiTheme="majorHAnsi"/>
        </w:rPr>
      </w:pPr>
      <w:r w:rsidRPr="000A562F">
        <w:rPr>
          <w:rFonts w:asciiTheme="majorHAnsi" w:hAnsiTheme="majorHAnsi"/>
        </w:rPr>
        <w:t xml:space="preserve">Primary and secondary data collection is carried out through three main techniques that complement each other. </w:t>
      </w:r>
      <w:r w:rsidRPr="000A562F">
        <w:rPr>
          <w:rFonts w:asciiTheme="majorHAnsi" w:hAnsiTheme="majorHAnsi"/>
          <w:i/>
          <w:iCs/>
        </w:rPr>
        <w:t>First</w:t>
      </w:r>
      <w:r w:rsidRPr="000A562F">
        <w:rPr>
          <w:rFonts w:asciiTheme="majorHAnsi" w:hAnsiTheme="majorHAnsi"/>
        </w:rPr>
        <w:t xml:space="preserve">, </w:t>
      </w:r>
      <w:r w:rsidRPr="000A562F">
        <w:rPr>
          <w:rFonts w:asciiTheme="majorHAnsi" w:hAnsiTheme="majorHAnsi"/>
          <w:i/>
          <w:iCs/>
        </w:rPr>
        <w:t>Focus Group Discussion</w:t>
      </w:r>
      <w:r w:rsidRPr="000A562F">
        <w:rPr>
          <w:rFonts w:asciiTheme="majorHAnsi" w:hAnsiTheme="majorHAnsi"/>
        </w:rPr>
        <w:t xml:space="preserve"> (FGD) functions as the main data collection method. The FGD is strategically used to facilitate interactive dialogue, explore collective agreements, as well as identify intersectoral debates related to technical and ego-sectoral barriers in the preparation of the PPRG. </w:t>
      </w:r>
      <w:r w:rsidRPr="000A562F">
        <w:rPr>
          <w:rFonts w:asciiTheme="majorHAnsi" w:hAnsiTheme="majorHAnsi"/>
          <w:i/>
          <w:iCs/>
        </w:rPr>
        <w:t>Second</w:t>
      </w:r>
      <w:r w:rsidRPr="000A562F">
        <w:rPr>
          <w:rFonts w:asciiTheme="majorHAnsi" w:hAnsiTheme="majorHAnsi"/>
        </w:rPr>
        <w:t xml:space="preserve">, semi-structured </w:t>
      </w:r>
      <w:r w:rsidRPr="000A562F">
        <w:rPr>
          <w:rFonts w:asciiTheme="majorHAnsi" w:hAnsiTheme="majorHAnsi"/>
          <w:i/>
          <w:iCs/>
        </w:rPr>
        <w:t>in-depth interviews</w:t>
      </w:r>
      <w:r w:rsidRPr="000A562F">
        <w:rPr>
          <w:rFonts w:asciiTheme="majorHAnsi" w:hAnsiTheme="majorHAnsi"/>
        </w:rPr>
        <w:t xml:space="preserve"> were conducted with key informants (such as the </w:t>
      </w:r>
      <w:proofErr w:type="spellStart"/>
      <w:r w:rsidRPr="000A562F">
        <w:rPr>
          <w:rFonts w:asciiTheme="majorHAnsi" w:hAnsiTheme="majorHAnsi"/>
        </w:rPr>
        <w:t>Donggala</w:t>
      </w:r>
      <w:proofErr w:type="spellEnd"/>
      <w:r w:rsidRPr="000A562F">
        <w:rPr>
          <w:rFonts w:asciiTheme="majorHAnsi" w:hAnsiTheme="majorHAnsi"/>
        </w:rPr>
        <w:t xml:space="preserve"> Regency Women's Empowerment and Child Protection Office, sub-district planners and NGO representatives) to uncover information that was sensitive or did not appear in open forums, especially related to leadership commitment (</w:t>
      </w:r>
      <w:r w:rsidRPr="000A562F">
        <w:rPr>
          <w:rFonts w:asciiTheme="majorHAnsi" w:hAnsiTheme="majorHAnsi"/>
          <w:i/>
          <w:iCs/>
        </w:rPr>
        <w:t>political will</w:t>
      </w:r>
      <w:r w:rsidRPr="000A562F">
        <w:rPr>
          <w:rFonts w:asciiTheme="majorHAnsi" w:hAnsiTheme="majorHAnsi"/>
        </w:rPr>
        <w:t xml:space="preserve">) and governance dynamics. </w:t>
      </w:r>
      <w:r w:rsidRPr="000A562F">
        <w:rPr>
          <w:rFonts w:asciiTheme="majorHAnsi" w:hAnsiTheme="majorHAnsi"/>
          <w:i/>
          <w:iCs/>
        </w:rPr>
        <w:t>Third</w:t>
      </w:r>
      <w:r w:rsidRPr="000A562F">
        <w:rPr>
          <w:rFonts w:asciiTheme="majorHAnsi" w:hAnsiTheme="majorHAnsi"/>
        </w:rPr>
        <w:t xml:space="preserve">, the documentation study was carried out by critically analyzing the </w:t>
      </w:r>
      <w:proofErr w:type="spellStart"/>
      <w:r w:rsidRPr="000A562F">
        <w:rPr>
          <w:rFonts w:asciiTheme="majorHAnsi" w:hAnsiTheme="majorHAnsi"/>
        </w:rPr>
        <w:t>Donggala</w:t>
      </w:r>
      <w:proofErr w:type="spellEnd"/>
      <w:r w:rsidRPr="000A562F">
        <w:rPr>
          <w:rFonts w:asciiTheme="majorHAnsi" w:hAnsiTheme="majorHAnsi"/>
        </w:rPr>
        <w:t xml:space="preserve"> Regent Regulation Number 13 of 2024 documents concerning PUG, </w:t>
      </w:r>
      <w:r w:rsidRPr="000A562F">
        <w:rPr>
          <w:rFonts w:asciiTheme="majorHAnsi" w:hAnsiTheme="majorHAnsi"/>
          <w:i/>
          <w:iCs/>
        </w:rPr>
        <w:t xml:space="preserve">PUG Focal </w:t>
      </w:r>
      <w:r w:rsidRPr="000A562F">
        <w:rPr>
          <w:rFonts w:asciiTheme="majorHAnsi" w:hAnsiTheme="majorHAnsi"/>
          <w:i/>
          <w:iCs/>
        </w:rPr>
        <w:lastRenderedPageBreak/>
        <w:t>Point Documents</w:t>
      </w:r>
      <w:r w:rsidRPr="000A562F">
        <w:rPr>
          <w:rFonts w:asciiTheme="majorHAnsi" w:hAnsiTheme="majorHAnsi"/>
        </w:rPr>
        <w:t xml:space="preserve">, PPRG Secretariat Decree, </w:t>
      </w:r>
      <w:proofErr w:type="spellStart"/>
      <w:r w:rsidRPr="000A562F">
        <w:rPr>
          <w:rFonts w:asciiTheme="majorHAnsi" w:hAnsiTheme="majorHAnsi"/>
        </w:rPr>
        <w:t>Donggala</w:t>
      </w:r>
      <w:proofErr w:type="spellEnd"/>
      <w:r w:rsidRPr="000A562F">
        <w:rPr>
          <w:rFonts w:asciiTheme="majorHAnsi" w:hAnsiTheme="majorHAnsi"/>
        </w:rPr>
        <w:t xml:space="preserve"> Regency PUG Working Group Decree to measure the level of administrative compliance and real budget allocation.</w:t>
      </w:r>
    </w:p>
    <w:p w14:paraId="4EB69414" w14:textId="6EC6E942" w:rsidR="000A562F" w:rsidRPr="00E2714F" w:rsidRDefault="000A562F" w:rsidP="00E2714F">
      <w:pPr>
        <w:pStyle w:val="NormalWeb"/>
        <w:ind w:firstLine="426"/>
        <w:jc w:val="both"/>
        <w:rPr>
          <w:rFonts w:asciiTheme="majorHAnsi" w:hAnsiTheme="majorHAnsi"/>
        </w:rPr>
      </w:pPr>
      <w:r w:rsidRPr="000A562F">
        <w:rPr>
          <w:rFonts w:asciiTheme="majorHAnsi" w:hAnsiTheme="majorHAnsi"/>
        </w:rPr>
        <w:t xml:space="preserve">The data that has been collected is then analyzed thematically using an interactive data analysis model from </w:t>
      </w:r>
      <w:r w:rsidRPr="000A562F">
        <w:rPr>
          <w:rFonts w:asciiTheme="majorHAnsi" w:hAnsiTheme="majorHAnsi"/>
        </w:rPr>
        <w:fldChar w:fldCharType="begin"/>
      </w:r>
      <w:r w:rsidRPr="000A562F">
        <w:rPr>
          <w:rFonts w:asciiTheme="majorHAnsi" w:hAnsiTheme="majorHAnsi"/>
        </w:rPr>
        <w:instrText xml:space="preserve"> ADDIN ZOTERO_ITEM CSL_CITATION {"citationID":"UV63UFTK","properties":{"formattedCitation":"(Miles dkk., 2014)","plainCitation":"(Miles dkk., 2014)","dontUpdate":true,"noteIndex":0},"citationItems":[{"id":80,"uris":["http://zotero.org/users/local/yobKiu6n/items/D5SWHSLE"],"itemData":{"id":80,"type":"book","edition":"Edition 3","ISBN":"978-1-4522-5787-7","publisher":"SAGE Publications","title":"Qualitative data analysis: A methods sourcebook","author":[{"family":"Miles","given":"Matthew B"},{"family":"Huberman","given":"A Michael"},{"family":"Saldaña","given":"Johnny"}],"issued":{"date-parts":[["2014"]]}}}],"schema":"https://github.com/citation-style-language/schema/raw/master/csl-citation.json"} </w:instrText>
      </w:r>
      <w:r w:rsidRPr="000A562F">
        <w:rPr>
          <w:rFonts w:asciiTheme="majorHAnsi" w:hAnsiTheme="majorHAnsi"/>
        </w:rPr>
        <w:fldChar w:fldCharType="separate"/>
      </w:r>
      <w:r w:rsidRPr="000A562F">
        <w:rPr>
          <w:rFonts w:asciiTheme="majorHAnsi" w:hAnsiTheme="majorHAnsi"/>
          <w:noProof/>
        </w:rPr>
        <w:t>Miles dkk (2014)</w:t>
      </w:r>
      <w:r w:rsidRPr="000A562F">
        <w:rPr>
          <w:rFonts w:asciiTheme="majorHAnsi" w:hAnsiTheme="majorHAnsi"/>
        </w:rPr>
        <w:fldChar w:fldCharType="end"/>
      </w:r>
      <w:r w:rsidRPr="000A562F">
        <w:rPr>
          <w:rFonts w:asciiTheme="majorHAnsi" w:hAnsiTheme="majorHAnsi"/>
        </w:rPr>
        <w:t xml:space="preserve">, which consists of data condensation, data presentation, and conclusion drawn. This analysis process is strictly controlled by a key theoretical analysis knife that includes three pillars: (1) </w:t>
      </w:r>
      <w:r w:rsidRPr="000A562F">
        <w:rPr>
          <w:rFonts w:asciiTheme="majorHAnsi" w:hAnsiTheme="majorHAnsi"/>
          <w:i/>
          <w:iCs/>
        </w:rPr>
        <w:t>Gender Machinery</w:t>
      </w:r>
      <w:r w:rsidRPr="000A562F">
        <w:rPr>
          <w:rFonts w:asciiTheme="majorHAnsi" w:hAnsiTheme="majorHAnsi"/>
        </w:rPr>
        <w:t xml:space="preserve"> (to dissect the institutional capacity and effectiveness of the Focal Point PUG); (2) </w:t>
      </w:r>
      <w:r w:rsidRPr="000A562F">
        <w:rPr>
          <w:rFonts w:asciiTheme="majorHAnsi" w:hAnsiTheme="majorHAnsi"/>
          <w:i/>
          <w:iCs/>
        </w:rPr>
        <w:t>Gender Planning</w:t>
      </w:r>
      <w:r w:rsidRPr="000A562F">
        <w:rPr>
          <w:rFonts w:asciiTheme="majorHAnsi" w:hAnsiTheme="majorHAnsi"/>
        </w:rPr>
        <w:t xml:space="preserve"> (to evaluate the suitability and precision of planning instruments such as GAP and GBS); and (3) </w:t>
      </w:r>
      <w:r w:rsidRPr="000A562F">
        <w:rPr>
          <w:rFonts w:asciiTheme="majorHAnsi" w:hAnsiTheme="majorHAnsi"/>
          <w:i/>
          <w:iCs/>
        </w:rPr>
        <w:t>Governance</w:t>
      </w:r>
      <w:r w:rsidRPr="000A562F">
        <w:rPr>
          <w:rFonts w:asciiTheme="majorHAnsi" w:hAnsiTheme="majorHAnsi"/>
        </w:rPr>
        <w:t xml:space="preserve"> (to assess the quality of cross-sector coordination, transparency, and leadership commitment). Through the integration of this operational framework, the research is expected to be able to map the root causes of PPRG implementation systematically and formulate adaptive policy recommendations for disaster-prone areas.</w:t>
      </w:r>
    </w:p>
    <w:p w14:paraId="2A3CD647" w14:textId="77777777" w:rsidR="000F1938" w:rsidRDefault="000F1938">
      <w:pPr>
        <w:ind w:firstLine="426"/>
        <w:jc w:val="both"/>
        <w:rPr>
          <w:rFonts w:ascii="Lustria" w:eastAsia="Lustria" w:hAnsi="Lustria" w:cs="Lustria"/>
        </w:rPr>
      </w:pPr>
    </w:p>
    <w:p w14:paraId="2B1A9D40" w14:textId="2709E38F" w:rsidR="000F1938" w:rsidRPr="00CD0665" w:rsidRDefault="00000000" w:rsidP="00CD0665">
      <w:pPr>
        <w:numPr>
          <w:ilvl w:val="0"/>
          <w:numId w:val="1"/>
        </w:numPr>
        <w:pBdr>
          <w:top w:val="nil"/>
          <w:left w:val="nil"/>
          <w:bottom w:val="nil"/>
          <w:right w:val="nil"/>
          <w:between w:val="nil"/>
        </w:pBdr>
        <w:spacing w:after="160" w:line="259" w:lineRule="auto"/>
        <w:ind w:left="426" w:hanging="426"/>
        <w:jc w:val="both"/>
        <w:rPr>
          <w:rFonts w:ascii="Lustria" w:eastAsia="Lustria" w:hAnsi="Lustria" w:cs="Lustria"/>
          <w:b/>
          <w:color w:val="000000"/>
        </w:rPr>
      </w:pPr>
      <w:r w:rsidRPr="00E2714F">
        <w:rPr>
          <w:rFonts w:ascii="Lustria" w:eastAsia="Lustria" w:hAnsi="Lustria" w:cs="Lustria"/>
          <w:b/>
          <w:color w:val="000000"/>
        </w:rPr>
        <w:t>Result</w:t>
      </w:r>
      <w:r w:rsidR="00351F6D" w:rsidRPr="00E2714F">
        <w:rPr>
          <w:rFonts w:ascii="Lustria" w:eastAsia="Lustria" w:hAnsi="Lustria" w:cs="Lustria"/>
          <w:b/>
          <w:color w:val="000000"/>
        </w:rPr>
        <w:t xml:space="preserve"> and Discussion</w:t>
      </w:r>
    </w:p>
    <w:p w14:paraId="370F7B70" w14:textId="16B46FF3" w:rsidR="000F1938" w:rsidRDefault="000A562F">
      <w:pPr>
        <w:spacing w:after="160" w:line="259" w:lineRule="auto"/>
        <w:jc w:val="both"/>
        <w:rPr>
          <w:rFonts w:ascii="Lustria" w:eastAsia="Lustria" w:hAnsi="Lustria" w:cs="Lustria"/>
        </w:rPr>
      </w:pPr>
      <w:r w:rsidRPr="007579C1">
        <w:rPr>
          <w:rFonts w:ascii="Cambria" w:hAnsi="Cambria"/>
          <w:b/>
          <w:bCs/>
          <w:noProof/>
        </w:rPr>
        <w:drawing>
          <wp:anchor distT="0" distB="0" distL="114300" distR="114300" simplePos="0" relativeHeight="251658240" behindDoc="0" locked="0" layoutInCell="1" allowOverlap="1" wp14:anchorId="16749CFD" wp14:editId="621B728D">
            <wp:simplePos x="0" y="0"/>
            <wp:positionH relativeFrom="column">
              <wp:posOffset>1050206</wp:posOffset>
            </wp:positionH>
            <wp:positionV relativeFrom="paragraph">
              <wp:posOffset>98690</wp:posOffset>
            </wp:positionV>
            <wp:extent cx="3912392" cy="2242430"/>
            <wp:effectExtent l="0" t="0" r="0" b="5715"/>
            <wp:wrapNone/>
            <wp:docPr id="9519216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21491"/>
                    <a:stretch>
                      <a:fillRect/>
                    </a:stretch>
                  </pic:blipFill>
                  <pic:spPr bwMode="auto">
                    <a:xfrm>
                      <a:off x="0" y="0"/>
                      <a:ext cx="3912392" cy="2242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839A71" w14:textId="5060347D" w:rsidR="000A562F" w:rsidRDefault="000A562F">
      <w:pPr>
        <w:spacing w:after="160" w:line="259" w:lineRule="auto"/>
        <w:jc w:val="both"/>
        <w:rPr>
          <w:rFonts w:ascii="Lustria" w:eastAsia="Lustria" w:hAnsi="Lustria" w:cs="Lustria"/>
        </w:rPr>
      </w:pPr>
    </w:p>
    <w:p w14:paraId="0833905B" w14:textId="77777777" w:rsidR="000A562F" w:rsidRDefault="000A562F">
      <w:pPr>
        <w:ind w:firstLine="426"/>
        <w:jc w:val="both"/>
        <w:rPr>
          <w:rFonts w:ascii="Lustria" w:eastAsia="Lustria" w:hAnsi="Lustria" w:cs="Lustria"/>
        </w:rPr>
      </w:pPr>
    </w:p>
    <w:p w14:paraId="4C5CDD4C" w14:textId="77777777" w:rsidR="000A562F" w:rsidRDefault="000A562F">
      <w:pPr>
        <w:ind w:firstLine="426"/>
        <w:jc w:val="both"/>
        <w:rPr>
          <w:rFonts w:ascii="Lustria" w:eastAsia="Lustria" w:hAnsi="Lustria" w:cs="Lustria"/>
        </w:rPr>
      </w:pPr>
    </w:p>
    <w:p w14:paraId="73DE9201" w14:textId="77777777" w:rsidR="000A562F" w:rsidRDefault="000A562F">
      <w:pPr>
        <w:ind w:firstLine="426"/>
        <w:jc w:val="both"/>
        <w:rPr>
          <w:rFonts w:ascii="Lustria" w:eastAsia="Lustria" w:hAnsi="Lustria" w:cs="Lustria"/>
        </w:rPr>
      </w:pPr>
    </w:p>
    <w:p w14:paraId="1CEF92A7" w14:textId="77777777" w:rsidR="000A562F" w:rsidRDefault="000A562F">
      <w:pPr>
        <w:ind w:firstLine="426"/>
        <w:jc w:val="both"/>
        <w:rPr>
          <w:rFonts w:ascii="Lustria" w:eastAsia="Lustria" w:hAnsi="Lustria" w:cs="Lustria"/>
        </w:rPr>
      </w:pPr>
    </w:p>
    <w:p w14:paraId="15E1F5A4" w14:textId="77777777" w:rsidR="000A562F" w:rsidRDefault="000A562F">
      <w:pPr>
        <w:ind w:firstLine="426"/>
        <w:jc w:val="both"/>
        <w:rPr>
          <w:rFonts w:ascii="Lustria" w:eastAsia="Lustria" w:hAnsi="Lustria" w:cs="Lustria"/>
        </w:rPr>
      </w:pPr>
    </w:p>
    <w:p w14:paraId="4FBB013A" w14:textId="77777777" w:rsidR="000A562F" w:rsidRDefault="000A562F">
      <w:pPr>
        <w:ind w:firstLine="426"/>
        <w:jc w:val="both"/>
        <w:rPr>
          <w:rFonts w:ascii="Lustria" w:eastAsia="Lustria" w:hAnsi="Lustria" w:cs="Lustria"/>
        </w:rPr>
      </w:pPr>
    </w:p>
    <w:p w14:paraId="0C2C9189" w14:textId="77777777" w:rsidR="000A562F" w:rsidRDefault="000A562F">
      <w:pPr>
        <w:ind w:firstLine="426"/>
        <w:jc w:val="both"/>
        <w:rPr>
          <w:rFonts w:ascii="Lustria" w:eastAsia="Lustria" w:hAnsi="Lustria" w:cs="Lustria"/>
        </w:rPr>
      </w:pPr>
    </w:p>
    <w:p w14:paraId="0CB00B23" w14:textId="77777777" w:rsidR="000A562F" w:rsidRDefault="000A562F">
      <w:pPr>
        <w:ind w:firstLine="426"/>
        <w:jc w:val="both"/>
        <w:rPr>
          <w:rFonts w:ascii="Lustria" w:eastAsia="Lustria" w:hAnsi="Lustria" w:cs="Lustria"/>
        </w:rPr>
      </w:pPr>
    </w:p>
    <w:p w14:paraId="3D331E1A" w14:textId="77777777" w:rsidR="000A562F" w:rsidRDefault="000A562F">
      <w:pPr>
        <w:ind w:firstLine="426"/>
        <w:jc w:val="both"/>
        <w:rPr>
          <w:rFonts w:ascii="Lustria" w:eastAsia="Lustria" w:hAnsi="Lustria" w:cs="Lustria"/>
        </w:rPr>
      </w:pPr>
    </w:p>
    <w:p w14:paraId="58095932" w14:textId="4E6D7F37" w:rsidR="000A562F" w:rsidRPr="000A562F" w:rsidRDefault="000A562F" w:rsidP="000A562F">
      <w:pPr>
        <w:rPr>
          <w:rFonts w:asciiTheme="majorHAnsi" w:hAnsiTheme="majorHAnsi"/>
          <w:szCs w:val="18"/>
          <w:lang w:val="nb-NO"/>
        </w:rPr>
      </w:pPr>
      <w:r w:rsidRPr="000A562F">
        <w:rPr>
          <w:rFonts w:asciiTheme="majorHAnsi" w:hAnsiTheme="majorHAnsi"/>
          <w:b/>
          <w:bCs/>
          <w:szCs w:val="18"/>
        </w:rPr>
        <w:t xml:space="preserve">Figure 1. </w:t>
      </w:r>
      <w:r w:rsidRPr="000A562F">
        <w:rPr>
          <w:rFonts w:asciiTheme="majorHAnsi" w:hAnsiTheme="majorHAnsi"/>
          <w:szCs w:val="18"/>
        </w:rPr>
        <w:t xml:space="preserve">Thematic Map of Villages with PPRG Issues and Good Practices in </w:t>
      </w:r>
      <w:proofErr w:type="spellStart"/>
      <w:r w:rsidRPr="000A562F">
        <w:rPr>
          <w:rFonts w:asciiTheme="majorHAnsi" w:hAnsiTheme="majorHAnsi"/>
          <w:szCs w:val="18"/>
        </w:rPr>
        <w:t>Sirenza</w:t>
      </w:r>
      <w:proofErr w:type="spellEnd"/>
      <w:r w:rsidRPr="000A562F">
        <w:rPr>
          <w:rFonts w:asciiTheme="majorHAnsi" w:hAnsiTheme="majorHAnsi"/>
          <w:szCs w:val="18"/>
        </w:rPr>
        <w:t xml:space="preserve"> District.</w:t>
      </w:r>
      <w:r>
        <w:rPr>
          <w:rFonts w:asciiTheme="majorHAnsi" w:hAnsiTheme="majorHAnsi"/>
          <w:szCs w:val="18"/>
          <w:lang w:val="nb-NO"/>
        </w:rPr>
        <w:t xml:space="preserve"> </w:t>
      </w:r>
      <w:r w:rsidRPr="000A562F">
        <w:rPr>
          <w:rFonts w:asciiTheme="majorHAnsi" w:hAnsiTheme="majorHAnsi"/>
          <w:b/>
          <w:bCs/>
          <w:szCs w:val="18"/>
        </w:rPr>
        <w:t xml:space="preserve">Source: </w:t>
      </w:r>
      <w:r w:rsidRPr="000A562F">
        <w:rPr>
          <w:rFonts w:asciiTheme="majorHAnsi" w:hAnsiTheme="majorHAnsi"/>
          <w:szCs w:val="18"/>
        </w:rPr>
        <w:t>Researcher's data processing 2025</w:t>
      </w:r>
    </w:p>
    <w:p w14:paraId="76B5AFC1" w14:textId="77777777" w:rsidR="000A562F" w:rsidRDefault="000A562F" w:rsidP="000A562F">
      <w:pPr>
        <w:jc w:val="both"/>
        <w:rPr>
          <w:rFonts w:ascii="Lustria" w:eastAsia="Lustria" w:hAnsi="Lustria" w:cs="Lustria"/>
        </w:rPr>
      </w:pPr>
    </w:p>
    <w:p w14:paraId="20357610" w14:textId="77777777" w:rsidR="000A562F" w:rsidRPr="000A562F" w:rsidRDefault="000A562F" w:rsidP="000A562F">
      <w:pPr>
        <w:ind w:firstLine="426"/>
        <w:jc w:val="both"/>
        <w:rPr>
          <w:rFonts w:asciiTheme="majorHAnsi" w:hAnsiTheme="majorHAnsi"/>
          <w:szCs w:val="18"/>
        </w:rPr>
      </w:pPr>
      <w:r w:rsidRPr="000A562F">
        <w:rPr>
          <w:rFonts w:asciiTheme="majorHAnsi" w:hAnsiTheme="majorHAnsi"/>
          <w:szCs w:val="18"/>
        </w:rPr>
        <w:t xml:space="preserve">The map above illustrates the distribution of villages in </w:t>
      </w:r>
      <w:proofErr w:type="spellStart"/>
      <w:r w:rsidRPr="000A562F">
        <w:rPr>
          <w:rFonts w:asciiTheme="majorHAnsi" w:hAnsiTheme="majorHAnsi"/>
          <w:szCs w:val="18"/>
        </w:rPr>
        <w:t>Sirenja</w:t>
      </w:r>
      <w:proofErr w:type="spellEnd"/>
      <w:r w:rsidRPr="000A562F">
        <w:rPr>
          <w:rFonts w:asciiTheme="majorHAnsi" w:hAnsiTheme="majorHAnsi"/>
          <w:szCs w:val="18"/>
        </w:rPr>
        <w:t xml:space="preserve"> District that is the location of the FGD and highlights issues and good practices related to the implementation of PPRG. </w:t>
      </w:r>
      <w:proofErr w:type="spellStart"/>
      <w:r w:rsidRPr="000A562F">
        <w:rPr>
          <w:rFonts w:asciiTheme="majorHAnsi" w:hAnsiTheme="majorHAnsi"/>
          <w:szCs w:val="18"/>
        </w:rPr>
        <w:t>Tompe</w:t>
      </w:r>
      <w:proofErr w:type="spellEnd"/>
      <w:r w:rsidRPr="000A562F">
        <w:rPr>
          <w:rFonts w:asciiTheme="majorHAnsi" w:hAnsiTheme="majorHAnsi"/>
          <w:szCs w:val="18"/>
        </w:rPr>
        <w:t xml:space="preserve"> Village is marked as an example village with the Women and Children Protection Task Force (PPA) active since 2023, while </w:t>
      </w:r>
      <w:proofErr w:type="spellStart"/>
      <w:r w:rsidRPr="000A562F">
        <w:rPr>
          <w:rFonts w:asciiTheme="majorHAnsi" w:hAnsiTheme="majorHAnsi"/>
          <w:szCs w:val="18"/>
        </w:rPr>
        <w:t>Dampal</w:t>
      </w:r>
      <w:proofErr w:type="spellEnd"/>
      <w:r w:rsidRPr="000A562F">
        <w:rPr>
          <w:rFonts w:asciiTheme="majorHAnsi" w:hAnsiTheme="majorHAnsi"/>
          <w:szCs w:val="18"/>
        </w:rPr>
        <w:t xml:space="preserve"> Village has an allocation of 3% of village funds for gender-based activities even though its use is not yet completely uniform. </w:t>
      </w:r>
      <w:proofErr w:type="spellStart"/>
      <w:r w:rsidRPr="000A562F">
        <w:rPr>
          <w:rFonts w:asciiTheme="majorHAnsi" w:hAnsiTheme="majorHAnsi"/>
          <w:szCs w:val="18"/>
        </w:rPr>
        <w:t>Sibado</w:t>
      </w:r>
      <w:proofErr w:type="spellEnd"/>
      <w:r w:rsidRPr="000A562F">
        <w:rPr>
          <w:rFonts w:asciiTheme="majorHAnsi" w:hAnsiTheme="majorHAnsi"/>
          <w:szCs w:val="18"/>
        </w:rPr>
        <w:t xml:space="preserve"> and Sipi villages were identified as having problems with the placement of female P3K teachers in remote areas, which reflects the challenges of patriarchal culture and the limitations of gender-based placement policies. This visualization shows the importance of</w:t>
      </w:r>
      <w:r w:rsidRPr="000A562F">
        <w:rPr>
          <w:rFonts w:asciiTheme="majorHAnsi" w:hAnsiTheme="majorHAnsi"/>
          <w:i/>
          <w:iCs/>
          <w:szCs w:val="18"/>
        </w:rPr>
        <w:t xml:space="preserve"> an area-based approach </w:t>
      </w:r>
      <w:r w:rsidRPr="000A562F">
        <w:rPr>
          <w:rFonts w:asciiTheme="majorHAnsi" w:hAnsiTheme="majorHAnsi"/>
          <w:szCs w:val="18"/>
        </w:rPr>
        <w:t>to designing gender-responsive development policies that are more geared towards the local context.</w:t>
      </w:r>
    </w:p>
    <w:p w14:paraId="1B548B3E" w14:textId="77777777" w:rsidR="000A562F" w:rsidRDefault="000A562F">
      <w:pPr>
        <w:ind w:firstLine="426"/>
        <w:jc w:val="both"/>
        <w:rPr>
          <w:rFonts w:ascii="Lustria" w:eastAsia="Lustria" w:hAnsi="Lustria" w:cs="Lustria"/>
        </w:rPr>
      </w:pPr>
    </w:p>
    <w:p w14:paraId="16CA4EB5" w14:textId="5F9CDFDE" w:rsidR="00351F6D" w:rsidRDefault="00D67DE3" w:rsidP="00351F6D">
      <w:pPr>
        <w:rPr>
          <w:rFonts w:asciiTheme="majorHAnsi" w:hAnsiTheme="majorHAnsi"/>
          <w:b/>
          <w:bCs/>
          <w:kern w:val="36"/>
          <w:szCs w:val="18"/>
        </w:rPr>
      </w:pPr>
      <w:r>
        <w:rPr>
          <w:rFonts w:asciiTheme="majorHAnsi" w:eastAsia="Lustria" w:hAnsiTheme="majorHAnsi" w:cs="Lustria"/>
          <w:b/>
          <w:bCs/>
        </w:rPr>
        <w:t>3</w:t>
      </w:r>
      <w:r w:rsidR="00351F6D" w:rsidRPr="00351F6D">
        <w:rPr>
          <w:rFonts w:asciiTheme="majorHAnsi" w:eastAsia="Lustria" w:hAnsiTheme="majorHAnsi" w:cs="Lustria"/>
          <w:b/>
          <w:bCs/>
        </w:rPr>
        <w:t xml:space="preserve">.1 </w:t>
      </w:r>
      <w:r w:rsidR="00351F6D" w:rsidRPr="00351F6D">
        <w:rPr>
          <w:rFonts w:asciiTheme="majorHAnsi" w:hAnsiTheme="majorHAnsi"/>
          <w:b/>
          <w:bCs/>
          <w:kern w:val="36"/>
          <w:szCs w:val="18"/>
        </w:rPr>
        <w:t xml:space="preserve">Regulatory Framework for the Implementation of PPRG in </w:t>
      </w:r>
      <w:proofErr w:type="spellStart"/>
      <w:r w:rsidR="00351F6D" w:rsidRPr="00351F6D">
        <w:rPr>
          <w:rFonts w:asciiTheme="majorHAnsi" w:hAnsiTheme="majorHAnsi"/>
          <w:b/>
          <w:bCs/>
          <w:kern w:val="36"/>
          <w:szCs w:val="18"/>
        </w:rPr>
        <w:t>Sirenja</w:t>
      </w:r>
      <w:proofErr w:type="spellEnd"/>
      <w:r w:rsidR="00351F6D" w:rsidRPr="00351F6D">
        <w:rPr>
          <w:rFonts w:asciiTheme="majorHAnsi" w:hAnsiTheme="majorHAnsi"/>
          <w:b/>
          <w:bCs/>
          <w:kern w:val="36"/>
          <w:szCs w:val="18"/>
        </w:rPr>
        <w:t xml:space="preserve"> District </w:t>
      </w:r>
    </w:p>
    <w:p w14:paraId="0B343766" w14:textId="77777777" w:rsidR="00351F6D" w:rsidRDefault="00351F6D" w:rsidP="00351F6D">
      <w:pPr>
        <w:pStyle w:val="NormalWeb"/>
        <w:ind w:firstLine="426"/>
        <w:jc w:val="both"/>
        <w:rPr>
          <w:rFonts w:asciiTheme="majorHAnsi" w:hAnsiTheme="majorHAnsi"/>
        </w:rPr>
      </w:pPr>
      <w:r w:rsidRPr="00351F6D">
        <w:rPr>
          <w:rFonts w:asciiTheme="majorHAnsi" w:hAnsiTheme="majorHAnsi"/>
        </w:rPr>
        <w:t xml:space="preserve">The fundamental objective of gender policies is to achieve an equilibrium of equality and justice in all development sectors through structural interventions </w:t>
      </w:r>
      <w:r w:rsidRPr="00351F6D">
        <w:rPr>
          <w:rFonts w:asciiTheme="majorHAnsi" w:hAnsiTheme="majorHAnsi"/>
        </w:rPr>
        <w:fldChar w:fldCharType="begin"/>
      </w:r>
      <w:r w:rsidRPr="00351F6D">
        <w:rPr>
          <w:rFonts w:asciiTheme="majorHAnsi" w:hAnsiTheme="majorHAnsi"/>
        </w:rPr>
        <w:instrText xml:space="preserve"> ADDIN ZOTERO_ITEM CSL_CITATION {"citationID":"oj1IBE0i","properties":{"formattedCitation":"(Guzura, 2017)","plainCitation":"(Guzura, 2017)","noteIndex":0},"citationItems":[{"id":85,"uris":["http://zotero.org/users/local/yobKiu6n/items/V84ZEYEE"],"itemData":{"id":85,"type":"article-journal","publisher":"Afro Asian Journal of Social Sciences","title":"N OVERVIEW OF ISSUES AND CONCEPTS IN GENDER MAINSTREAMING","URL":"https://api.semanticscholar.org/CorpusID:231609255","author":[{"family":"Guzura","given":"Tobias"}],"issued":{"date-parts":[["2017"]]}}}],"schema":"https://github.com/citation-style-language/schema/raw/master/csl-citation.json"}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(Guzura, 2017)</w:t>
      </w:r>
      <w:r w:rsidRPr="00351F6D">
        <w:rPr>
          <w:rFonts w:asciiTheme="majorHAnsi" w:hAnsiTheme="majorHAnsi"/>
        </w:rPr>
        <w:fldChar w:fldCharType="end"/>
      </w:r>
      <w:r w:rsidRPr="00351F6D">
        <w:rPr>
          <w:rFonts w:asciiTheme="majorHAnsi" w:hAnsiTheme="majorHAnsi"/>
        </w:rPr>
        <w:t xml:space="preserve">. In Indonesia, the Gender Mainstreaming (PUG) regulatory framework is built on the formal commitment of the state based on Presidential Instruction Number 9 of 2000. This regulation explicitly requires all government institutions to integrate gender </w:t>
      </w:r>
      <w:r w:rsidRPr="00351F6D">
        <w:rPr>
          <w:rFonts w:asciiTheme="majorHAnsi" w:hAnsiTheme="majorHAnsi"/>
        </w:rPr>
        <w:lastRenderedPageBreak/>
        <w:t xml:space="preserve">perspectives into the policy cycle. This mandate reflects the basic principles affirmed by the </w:t>
      </w:r>
      <w:r w:rsidRPr="00351F6D">
        <w:rPr>
          <w:rFonts w:asciiTheme="majorHAnsi" w:hAnsiTheme="majorHAnsi"/>
        </w:rPr>
        <w:fldChar w:fldCharType="begin"/>
      </w:r>
      <w:r w:rsidRPr="00351F6D">
        <w:rPr>
          <w:rFonts w:asciiTheme="majorHAnsi" w:hAnsiTheme="majorHAnsi"/>
        </w:rPr>
        <w:instrText xml:space="preserve"> ADDIN ZOTERO_ITEM CSL_CITATION {"citationID":"Nm7hAZxl","properties":{"formattedCitation":"(United Nations, 2002)","plainCitation":"(United Nations, 2002)","dontUpdate":true,"noteIndex":0},"citationItems":[{"id":81,"uris":["http://zotero.org/users/local/yobKiu6n/items/LNYBYZTS"],"itemData":{"id":81,"type":"document","publisher":"United Nations","publisher-place":"New York","title":"GENDER MAINSTREAMING AN OVERVIEW","URL":"https://www.un.org/womenwatch/osagi/pdf/e65237.pdf","author":[{"family":"United Nations","given":""}],"issued":{"date-parts":[["2002"]]}}}],"schema":"https://github.com/citation-style-language/schema/raw/master/csl-citation.json"}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United Nations (2002)</w:t>
      </w:r>
      <w:r w:rsidRPr="00351F6D">
        <w:rPr>
          <w:rFonts w:asciiTheme="majorHAnsi" w:hAnsiTheme="majorHAnsi"/>
        </w:rPr>
        <w:fldChar w:fldCharType="end"/>
      </w:r>
      <w:r w:rsidRPr="00351F6D">
        <w:rPr>
          <w:rFonts w:asciiTheme="majorHAnsi" w:hAnsiTheme="majorHAnsi"/>
        </w:rPr>
        <w:t xml:space="preserve">, where </w:t>
      </w:r>
      <w:r w:rsidRPr="00351F6D">
        <w:rPr>
          <w:rFonts w:asciiTheme="majorHAnsi" w:hAnsiTheme="majorHAnsi"/>
          <w:i/>
          <w:iCs/>
        </w:rPr>
        <w:t>gender mainstreaming</w:t>
      </w:r>
      <w:r w:rsidRPr="00351F6D">
        <w:rPr>
          <w:rFonts w:asciiTheme="majorHAnsi" w:hAnsiTheme="majorHAnsi"/>
        </w:rPr>
        <w:t xml:space="preserve"> must be institutionalized holistically through policies, structures, and analytical instruments to dismantle structural inequalities.</w:t>
      </w:r>
    </w:p>
    <w:p w14:paraId="398D1920" w14:textId="77777777" w:rsidR="00351F6D" w:rsidRDefault="00351F6D" w:rsidP="00351F6D">
      <w:pPr>
        <w:pStyle w:val="NormalWeb"/>
        <w:ind w:firstLine="426"/>
        <w:jc w:val="both"/>
        <w:rPr>
          <w:rFonts w:asciiTheme="majorHAnsi" w:hAnsiTheme="majorHAnsi"/>
          <w:i/>
          <w:iCs/>
        </w:rPr>
      </w:pPr>
      <w:r w:rsidRPr="00351F6D">
        <w:rPr>
          <w:rFonts w:asciiTheme="majorHAnsi" w:hAnsiTheme="majorHAnsi"/>
        </w:rPr>
        <w:t xml:space="preserve">To translate the macro mandate into technical practice, the government prepares operational instruments through the guidelines of </w:t>
      </w:r>
      <w:proofErr w:type="spellStart"/>
      <w:r w:rsidRPr="00351F6D">
        <w:rPr>
          <w:rFonts w:asciiTheme="majorHAnsi" w:hAnsiTheme="majorHAnsi"/>
        </w:rPr>
        <w:t>Bappenas</w:t>
      </w:r>
      <w:proofErr w:type="spellEnd"/>
      <w:r w:rsidRPr="00351F6D">
        <w:rPr>
          <w:rFonts w:asciiTheme="majorHAnsi" w:hAnsiTheme="majorHAnsi"/>
        </w:rPr>
        <w:t xml:space="preserve"> and the Minister of Home Affairs, especially related to the preparation of </w:t>
      </w:r>
      <w:r w:rsidRPr="00351F6D">
        <w:rPr>
          <w:rFonts w:asciiTheme="majorHAnsi" w:hAnsiTheme="majorHAnsi"/>
          <w:i/>
          <w:iCs/>
        </w:rPr>
        <w:t>Gender Analysis Pathway</w:t>
      </w:r>
      <w:r w:rsidRPr="00351F6D">
        <w:rPr>
          <w:rFonts w:asciiTheme="majorHAnsi" w:hAnsiTheme="majorHAnsi"/>
        </w:rPr>
        <w:t xml:space="preserve"> (GAP), </w:t>
      </w:r>
      <w:r w:rsidRPr="00351F6D">
        <w:rPr>
          <w:rFonts w:asciiTheme="majorHAnsi" w:hAnsiTheme="majorHAnsi"/>
          <w:i/>
          <w:iCs/>
        </w:rPr>
        <w:t>Gender Budget Statement</w:t>
      </w:r>
      <w:r w:rsidRPr="00351F6D">
        <w:rPr>
          <w:rFonts w:asciiTheme="majorHAnsi" w:hAnsiTheme="majorHAnsi"/>
        </w:rPr>
        <w:t xml:space="preserve"> (GBS), and fragmented data integration. The presence of this instrument is in line with the classical postulate </w:t>
      </w:r>
      <w:r w:rsidRPr="00351F6D">
        <w:rPr>
          <w:rFonts w:asciiTheme="majorHAnsi" w:hAnsiTheme="majorHAnsi"/>
        </w:rPr>
        <w:fldChar w:fldCharType="begin"/>
      </w:r>
      <w:r w:rsidRPr="00351F6D">
        <w:rPr>
          <w:rFonts w:asciiTheme="majorHAnsi" w:hAnsiTheme="majorHAnsi"/>
        </w:rPr>
        <w:instrText xml:space="preserve"> ADDIN ZOTERO_ITEM CSL_CITATION {"citationID":"gLeeNqyb","properties":{"formattedCitation":"(Moser, 1993)","plainCitation":"(Moser, 1993)","dontUpdate":true,"noteIndex":0},"citationItems":[{"id":82,"uris":["http://zotero.org/users/local/yobKiu6n/items/7G94GZBT"],"itemData":{"id":82,"type":"article-journal","DOI":"http://dx.doi.org/10.4324/9780203411940","publisher":"Routledge","publisher-place":"London","title":"Gender Planning and Development: Theory, Practice, and Training","author":[{"family":"Moser","given":"C.O.N"}],"issued":{"date-parts":[["1993"]]}}}],"schema":"https://github.com/citation-style-language/schema/raw/master/csl-citation.json"}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Moser (1993)</w:t>
      </w:r>
      <w:r w:rsidRPr="00351F6D">
        <w:rPr>
          <w:rFonts w:asciiTheme="majorHAnsi" w:hAnsiTheme="majorHAnsi"/>
        </w:rPr>
        <w:fldChar w:fldCharType="end"/>
      </w:r>
      <w:r w:rsidRPr="00351F6D">
        <w:rPr>
          <w:rFonts w:asciiTheme="majorHAnsi" w:hAnsiTheme="majorHAnsi"/>
        </w:rPr>
        <w:t xml:space="preserve"> that the success of gender-responsive policies is highly dependent on the capacity of actors to identify evidence-based practical and strategic needs (</w:t>
      </w:r>
      <w:r w:rsidRPr="00351F6D">
        <w:rPr>
          <w:rFonts w:asciiTheme="majorHAnsi" w:hAnsiTheme="majorHAnsi"/>
          <w:i/>
          <w:iCs/>
        </w:rPr>
        <w:t>evidence-based</w:t>
      </w:r>
      <w:r w:rsidRPr="00351F6D">
        <w:rPr>
          <w:rFonts w:asciiTheme="majorHAnsi" w:hAnsiTheme="majorHAnsi"/>
        </w:rPr>
        <w:t xml:space="preserve">). However, contemporary literature shows anomalies in practice. Study by </w:t>
      </w:r>
      <w:r w:rsidRPr="00351F6D">
        <w:rPr>
          <w:rFonts w:asciiTheme="majorHAnsi" w:hAnsiTheme="majorHAnsi"/>
        </w:rPr>
        <w:fldChar w:fldCharType="begin"/>
      </w:r>
      <w:r w:rsidRPr="00351F6D">
        <w:rPr>
          <w:rFonts w:asciiTheme="majorHAnsi" w:hAnsiTheme="majorHAnsi"/>
        </w:rPr>
        <w:instrText xml:space="preserve"> ADDIN ZOTERO_ITEM CSL_CITATION {"citationID":"NboUejID","properties":{"formattedCitation":"(Antasari &amp; Hadi, 2017)","plainCitation":"(Antasari &amp; Hadi, 2017)","dontUpdate":true,"noteIndex":0},"citationItems":[{"id":83,"uris":["http://zotero.org/users/local/yobKiu6n/items/5LJIXHF7"],"itemData":{"id":83,"type":"article-journal","page":"132-161","publisher":"Jurnal Al-Maiyyah","title":"IMPLEMENTASI KEBIJAKAN PERENCANAAN DAN PENGANGGARAN YANG RESPONSIF GENDER DI PEMERINTAH KOTA PALEMBANG","volume":"10 (1)","author":[{"family":"Antasari","given":"Rina"},{"family":"Hadi","given":"Abdul"}],"issued":{"date-parts":[["2017"]]}}}],"schema":"https://github.com/citation-style-language/schema/raw/master/csl-citation.json"}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Antasari &amp; Hadi (2017)</w:t>
      </w:r>
      <w:r w:rsidRPr="00351F6D">
        <w:rPr>
          <w:rFonts w:asciiTheme="majorHAnsi" w:hAnsiTheme="majorHAnsi"/>
        </w:rPr>
        <w:fldChar w:fldCharType="end"/>
      </w:r>
      <w:r w:rsidRPr="00351F6D">
        <w:rPr>
          <w:rFonts w:asciiTheme="majorHAnsi" w:hAnsiTheme="majorHAnsi"/>
        </w:rPr>
        <w:t xml:space="preserve"> found that in many areas, GAP and GBS have been reduced in meaning from a critical analytical instrument to a mere document of administrative requirements (</w:t>
      </w:r>
      <w:r w:rsidRPr="00351F6D">
        <w:rPr>
          <w:rFonts w:asciiTheme="majorHAnsi" w:hAnsiTheme="majorHAnsi"/>
          <w:i/>
          <w:iCs/>
        </w:rPr>
        <w:t>administrative compliance</w:t>
      </w:r>
      <w:r w:rsidRPr="00351F6D">
        <w:rPr>
          <w:rFonts w:asciiTheme="majorHAnsi" w:hAnsiTheme="majorHAnsi"/>
        </w:rPr>
        <w:t xml:space="preserve">) to disburse the budget. At the research locus, this framework was adopted through </w:t>
      </w:r>
      <w:proofErr w:type="spellStart"/>
      <w:r w:rsidRPr="00351F6D">
        <w:rPr>
          <w:rFonts w:asciiTheme="majorHAnsi" w:hAnsiTheme="majorHAnsi"/>
        </w:rPr>
        <w:t>Donggala</w:t>
      </w:r>
      <w:proofErr w:type="spellEnd"/>
      <w:r w:rsidRPr="00351F6D">
        <w:rPr>
          <w:rFonts w:asciiTheme="majorHAnsi" w:hAnsiTheme="majorHAnsi"/>
        </w:rPr>
        <w:t xml:space="preserve"> Regent Regulation Number 13 of 2024 concerning the Implementation of PUG. This regulation establishes an institutional architecture at the local level, including the PUG Working Group and the appointment of </w:t>
      </w:r>
      <w:r w:rsidRPr="00351F6D">
        <w:rPr>
          <w:rFonts w:asciiTheme="majorHAnsi" w:hAnsiTheme="majorHAnsi"/>
          <w:i/>
          <w:iCs/>
        </w:rPr>
        <w:t>Focal Point</w:t>
      </w:r>
      <w:r w:rsidRPr="00351F6D">
        <w:rPr>
          <w:rFonts w:asciiTheme="majorHAnsi" w:hAnsiTheme="majorHAnsi"/>
        </w:rPr>
        <w:t xml:space="preserve"> to the sub-district level. In the perspective of institutional theory, the formation of this structure is in line with the idea of </w:t>
      </w:r>
      <w:r w:rsidRPr="00351F6D">
        <w:rPr>
          <w:rFonts w:asciiTheme="majorHAnsi" w:hAnsiTheme="majorHAnsi"/>
        </w:rPr>
        <w:fldChar w:fldCharType="begin"/>
      </w:r>
      <w:r w:rsidRPr="00351F6D">
        <w:rPr>
          <w:rFonts w:asciiTheme="majorHAnsi" w:hAnsiTheme="majorHAnsi"/>
        </w:rPr>
        <w:instrText xml:space="preserve"> ADDIN ZOTERO_ITEM CSL_CITATION {"citationID":"CugOf75t","properties":{"formattedCitation":"(Goetz, 1997)","plainCitation":"(Goetz, 1997)","dontUpdate":true,"noteIndex":0},"citationItems":[{"id":84,"uris":["http://zotero.org/users/local/yobKiu6n/items/MEEH6VGY"],"itemData":{"id":84,"type":"book","number-of-pages":"248","publisher":"Zed Books","publisher-place":"London","title":"Getting institutions right for women in development","author":[{"family":"Goetz","given":"A.M"}],"issued":{"date-parts":[["1997"]]}}}],"schema":"https://github.com/citation-style-language/schema/raw/master/csl-citation.json"}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Goetz (1997)</w:t>
      </w:r>
      <w:r w:rsidRPr="00351F6D">
        <w:rPr>
          <w:rFonts w:asciiTheme="majorHAnsi" w:hAnsiTheme="majorHAnsi"/>
        </w:rPr>
        <w:fldChar w:fldCharType="end"/>
      </w:r>
      <w:r w:rsidRPr="00351F6D">
        <w:rPr>
          <w:rFonts w:asciiTheme="majorHAnsi" w:hAnsiTheme="majorHAnsi"/>
        </w:rPr>
        <w:t xml:space="preserve"> About Urgency </w:t>
      </w:r>
      <w:r w:rsidRPr="00351F6D">
        <w:rPr>
          <w:rFonts w:asciiTheme="majorHAnsi" w:hAnsiTheme="majorHAnsi"/>
          <w:i/>
          <w:iCs/>
        </w:rPr>
        <w:t>gender machinery</w:t>
      </w:r>
      <w:r w:rsidRPr="00351F6D">
        <w:rPr>
          <w:rFonts w:asciiTheme="majorHAnsi" w:hAnsiTheme="majorHAnsi"/>
        </w:rPr>
        <w:t xml:space="preserve">. However, Goetz also warned that this bureaucratic machine would be paralyzed if placed in a marginal position without fiscal support and political authority. Empirical findings confirm this; Existence </w:t>
      </w:r>
      <w:r w:rsidRPr="00351F6D">
        <w:rPr>
          <w:rFonts w:asciiTheme="majorHAnsi" w:hAnsiTheme="majorHAnsi"/>
          <w:i/>
          <w:iCs/>
        </w:rPr>
        <w:t>Focal Point</w:t>
      </w:r>
      <w:r w:rsidRPr="00351F6D">
        <w:rPr>
          <w:rFonts w:asciiTheme="majorHAnsi" w:hAnsiTheme="majorHAnsi"/>
        </w:rPr>
        <w:t xml:space="preserve"> At the regional level, there is often a lack of political legitimacy and technical capacity, so the gender agenda fails to influence the mainstream of decision-making </w:t>
      </w:r>
      <w:r w:rsidRPr="00351F6D">
        <w:rPr>
          <w:rFonts w:asciiTheme="majorHAnsi" w:hAnsiTheme="majorHAnsi"/>
        </w:rPr>
        <w:fldChar w:fldCharType="begin"/>
      </w:r>
      <w:r w:rsidRPr="00351F6D">
        <w:rPr>
          <w:rFonts w:asciiTheme="majorHAnsi" w:hAnsiTheme="majorHAnsi"/>
        </w:rPr>
        <w:instrText xml:space="preserve"> ADDIN ZOTERO_ITEM CSL_CITATION {"citationID":"hMyEAMhe","properties":{"formattedCitation":"(Anjellika &amp; Lestarika, 2024)","plainCitation":"(Anjellika &amp; Lestarika, 2024)","noteIndex":0},"citationItems":[{"id":70,"uris":["http://zotero.org/users/local/yobKiu6n/items/AYUBM3IA"],"itemData":{"id":70,"type":"article-journal","ISSN":"3031-8882","page":"542-546","publisher":"Jurnal Kajian Hukum Dan Kebijakan Publik","title":"Analisis Mendalam Tentang Kesenjangan Gender Di Indonesia: Perspektif Teori Dan Kebijakan","volume":"2","author":[{"family":"Anjellika","given":"Ega"},{"family":"Lestarika","given":"Dwi Putri"}],"issued":{"date-parts":[["2024"]]}}}],"schema":"https://github.com/citation-style-language/schema/raw/master/csl-citation.json"}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(Anjellika &amp; Lestarika, 2024)</w:t>
      </w:r>
      <w:r w:rsidRPr="00351F6D">
        <w:rPr>
          <w:rFonts w:asciiTheme="majorHAnsi" w:hAnsiTheme="majorHAnsi"/>
        </w:rPr>
        <w:fldChar w:fldCharType="end"/>
      </w:r>
      <w:r w:rsidRPr="00351F6D">
        <w:rPr>
          <w:rFonts w:asciiTheme="majorHAnsi" w:hAnsiTheme="majorHAnsi"/>
          <w:i/>
          <w:iCs/>
        </w:rPr>
        <w:t>.</w:t>
      </w:r>
    </w:p>
    <w:p w14:paraId="0FDA8EFC" w14:textId="66803F07" w:rsidR="00351F6D" w:rsidRDefault="00351F6D" w:rsidP="00E2714F">
      <w:pPr>
        <w:pStyle w:val="NormalWeb"/>
        <w:ind w:firstLine="426"/>
        <w:jc w:val="both"/>
        <w:rPr>
          <w:rFonts w:asciiTheme="majorHAnsi" w:hAnsiTheme="majorHAnsi"/>
        </w:rPr>
      </w:pPr>
      <w:r w:rsidRPr="00351F6D">
        <w:rPr>
          <w:rFonts w:asciiTheme="majorHAnsi" w:hAnsiTheme="majorHAnsi"/>
        </w:rPr>
        <w:t xml:space="preserve">The effectiveness of the </w:t>
      </w:r>
      <w:proofErr w:type="spellStart"/>
      <w:r w:rsidRPr="00351F6D">
        <w:rPr>
          <w:rFonts w:asciiTheme="majorHAnsi" w:hAnsiTheme="majorHAnsi"/>
        </w:rPr>
        <w:t>Donggala</w:t>
      </w:r>
      <w:proofErr w:type="spellEnd"/>
      <w:r w:rsidRPr="00351F6D">
        <w:rPr>
          <w:rFonts w:asciiTheme="majorHAnsi" w:hAnsiTheme="majorHAnsi"/>
        </w:rPr>
        <w:t xml:space="preserve"> Regency regulatory framework faces the real test at the implementation level </w:t>
      </w:r>
      <w:r w:rsidRPr="00351F6D">
        <w:rPr>
          <w:rFonts w:asciiTheme="majorHAnsi" w:hAnsiTheme="majorHAnsi"/>
          <w:i/>
          <w:iCs/>
        </w:rPr>
        <w:t>grassroots</w:t>
      </w:r>
      <w:r w:rsidRPr="00351F6D">
        <w:rPr>
          <w:rFonts w:asciiTheme="majorHAnsi" w:hAnsiTheme="majorHAnsi"/>
        </w:rPr>
        <w:t xml:space="preserve">, especially in </w:t>
      </w:r>
      <w:proofErr w:type="spellStart"/>
      <w:r w:rsidRPr="00351F6D">
        <w:rPr>
          <w:rFonts w:asciiTheme="majorHAnsi" w:hAnsiTheme="majorHAnsi"/>
        </w:rPr>
        <w:t>Sirenja</w:t>
      </w:r>
      <w:proofErr w:type="spellEnd"/>
      <w:r w:rsidRPr="00351F6D">
        <w:rPr>
          <w:rFonts w:asciiTheme="majorHAnsi" w:hAnsiTheme="majorHAnsi"/>
        </w:rPr>
        <w:t xml:space="preserve"> District. As a coastal area faced with multi-disaster threats (earthquakes, tsunamis, and abrasions), </w:t>
      </w:r>
      <w:proofErr w:type="spellStart"/>
      <w:r w:rsidRPr="00351F6D">
        <w:rPr>
          <w:rFonts w:asciiTheme="majorHAnsi" w:hAnsiTheme="majorHAnsi"/>
        </w:rPr>
        <w:t>Sirenja</w:t>
      </w:r>
      <w:proofErr w:type="spellEnd"/>
      <w:r w:rsidRPr="00351F6D">
        <w:rPr>
          <w:rFonts w:asciiTheme="majorHAnsi" w:hAnsiTheme="majorHAnsi"/>
        </w:rPr>
        <w:t xml:space="preserve"> has a sociological landscape that demands the precision of development planning. In this vulnerable ecosystem, women and marginalized groups face not only cultural subordination, but also direct exposure to disaster risk. This condition represents the concept of </w:t>
      </w:r>
      <w:r w:rsidRPr="00351F6D">
        <w:rPr>
          <w:rFonts w:asciiTheme="majorHAnsi" w:hAnsiTheme="majorHAnsi"/>
          <w:i/>
          <w:iCs/>
        </w:rPr>
        <w:t>double vulnerability</w:t>
      </w:r>
      <w:r w:rsidRPr="00351F6D">
        <w:rPr>
          <w:rFonts w:asciiTheme="majorHAnsi" w:hAnsiTheme="majorHAnsi"/>
        </w:rPr>
        <w:t xml:space="preserve"> (dual vulnerability) articulated by </w:t>
      </w:r>
      <w:r w:rsidRPr="00351F6D">
        <w:rPr>
          <w:rFonts w:asciiTheme="majorHAnsi" w:hAnsiTheme="majorHAnsi"/>
        </w:rPr>
        <w:fldChar w:fldCharType="begin"/>
      </w:r>
      <w:r w:rsidRPr="00351F6D">
        <w:rPr>
          <w:rFonts w:asciiTheme="majorHAnsi" w:hAnsiTheme="majorHAnsi"/>
        </w:rPr>
        <w:instrText xml:space="preserve"> ADDIN ZOTERO_ITEM CSL_CITATION {"citationID":"0aB1WyS5","properties":{"formattedCitation":"(Chant &amp; Sweetman, 2012)","plainCitation":"(Chant &amp; Sweetman, 2012)","dontUpdate":true,"noteIndex":0},"citationItems":[{"id":86,"uris":["http://zotero.org/users/local/yobKiu6n/items/4DTD4ZUE"],"itemData":{"id":86,"type":"article-journal","DOI":"https://doi.org/10.1080/13552074.2012.731812","page":"517-529","publisher":"Gender &amp; Development","title":"Fixing Women or Fixing the World? Smart Economics. Efficiency Approaches, and Gender Equality in Development","volume":"20","author":[{"family":"Chant","given":"S"},{"family":"Sweetman","given":"C"}],"issued":{"date-parts":[["2012"]]}}}],"schema":"https://github.com/citation-style-language/schema/raw/master/csl-citation.json"}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Chant &amp; Sweetman (2012)</w:t>
      </w:r>
      <w:r w:rsidRPr="00351F6D">
        <w:rPr>
          <w:rFonts w:asciiTheme="majorHAnsi" w:hAnsiTheme="majorHAnsi"/>
        </w:rPr>
        <w:fldChar w:fldCharType="end"/>
      </w:r>
      <w:r w:rsidRPr="00351F6D">
        <w:rPr>
          <w:rFonts w:asciiTheme="majorHAnsi" w:hAnsiTheme="majorHAnsi"/>
          <w:i/>
          <w:iCs/>
        </w:rPr>
        <w:t xml:space="preserve">. </w:t>
      </w:r>
      <w:r w:rsidRPr="00351F6D">
        <w:rPr>
          <w:rFonts w:asciiTheme="majorHAnsi" w:hAnsiTheme="majorHAnsi"/>
        </w:rPr>
        <w:t xml:space="preserve">A recent study on coastal disaster governance in Indonesia confirms that women are often the most severely affected by the loss of access to post-disaster subsistence economic resources, which ironically often misses regional planning indicators </w:t>
      </w:r>
      <w:r w:rsidRPr="00351F6D">
        <w:rPr>
          <w:rFonts w:asciiTheme="majorHAnsi" w:hAnsiTheme="majorHAnsi"/>
        </w:rPr>
        <w:fldChar w:fldCharType="begin"/>
      </w:r>
      <w:r w:rsidRPr="00351F6D">
        <w:rPr>
          <w:rFonts w:asciiTheme="majorHAnsi" w:hAnsiTheme="majorHAnsi"/>
        </w:rPr>
        <w:instrText xml:space="preserve"> ADDIN ZOTERO_ITEM CSL_CITATION {"citationID":"1LnQcsYy","properties":{"formattedCitation":"(Misrina &amp; Wicaksono, 2025)","plainCitation":"(Misrina &amp; Wicaksono, 2025)","noteIndex":0},"citationItems":[{"id":75,"uris":["http://zotero.org/users/local/yobKiu6n/items/T4TRTLWH"],"itemData":{"id":75,"type":"article-journal","DOI":"https://doi.org/10.31004/joecy.v5i2.1155","publisher":"Journal of Innovative and Creativity","title":"Resiliensi Perempuan Pesisir Menghadapi Perubahan Iklim.","volume":"5(2)","author":[{"family":"Misrina","given":"M"},{"family":"Wicaksono","given":"Muhammad Arif"}],"issued":{"date-parts":[["2025"]]}}}],"schema":"https://github.com/citation-style-language/schema/raw/master/csl-citation.json"}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(Misrina &amp; Wicaksono, 2025)</w:t>
      </w:r>
      <w:r w:rsidRPr="00351F6D">
        <w:rPr>
          <w:rFonts w:asciiTheme="majorHAnsi" w:hAnsiTheme="majorHAnsi"/>
        </w:rPr>
        <w:fldChar w:fldCharType="end"/>
      </w:r>
      <w:r w:rsidRPr="00351F6D">
        <w:rPr>
          <w:rFonts w:asciiTheme="majorHAnsi" w:hAnsiTheme="majorHAnsi"/>
        </w:rPr>
        <w:t xml:space="preserve">. Therefore, for </w:t>
      </w:r>
      <w:proofErr w:type="spellStart"/>
      <w:r w:rsidRPr="00351F6D">
        <w:rPr>
          <w:rFonts w:asciiTheme="majorHAnsi" w:hAnsiTheme="majorHAnsi"/>
        </w:rPr>
        <w:t>Sirenja</w:t>
      </w:r>
      <w:proofErr w:type="spellEnd"/>
      <w:r w:rsidRPr="00351F6D">
        <w:rPr>
          <w:rFonts w:asciiTheme="majorHAnsi" w:hAnsiTheme="majorHAnsi"/>
        </w:rPr>
        <w:t xml:space="preserve">, Presidential Instruction 9/2000 and </w:t>
      </w:r>
      <w:proofErr w:type="spellStart"/>
      <w:r w:rsidRPr="00351F6D">
        <w:rPr>
          <w:rFonts w:asciiTheme="majorHAnsi" w:hAnsiTheme="majorHAnsi"/>
        </w:rPr>
        <w:t>Perbup</w:t>
      </w:r>
      <w:proofErr w:type="spellEnd"/>
      <w:r w:rsidRPr="00351F6D">
        <w:rPr>
          <w:rFonts w:asciiTheme="majorHAnsi" w:hAnsiTheme="majorHAnsi"/>
        </w:rPr>
        <w:t xml:space="preserve"> </w:t>
      </w:r>
      <w:proofErr w:type="spellStart"/>
      <w:r w:rsidRPr="00351F6D">
        <w:rPr>
          <w:rFonts w:asciiTheme="majorHAnsi" w:hAnsiTheme="majorHAnsi"/>
        </w:rPr>
        <w:t>Donggala</w:t>
      </w:r>
      <w:proofErr w:type="spellEnd"/>
      <w:r w:rsidRPr="00351F6D">
        <w:rPr>
          <w:rFonts w:asciiTheme="majorHAnsi" w:hAnsiTheme="majorHAnsi"/>
        </w:rPr>
        <w:t xml:space="preserve"> 13/2024 are not just legal umbrellas, but vital instruments to prevent gender-blind policy neutrality (</w:t>
      </w:r>
      <w:r w:rsidRPr="00351F6D">
        <w:rPr>
          <w:rFonts w:asciiTheme="majorHAnsi" w:hAnsiTheme="majorHAnsi"/>
          <w:i/>
          <w:iCs/>
        </w:rPr>
        <w:t>gender-blind policies</w:t>
      </w:r>
      <w:r w:rsidRPr="00351F6D">
        <w:rPr>
          <w:rFonts w:asciiTheme="majorHAnsi" w:hAnsiTheme="majorHAnsi"/>
        </w:rPr>
        <w:t xml:space="preserve">). This strategic need requires sub-district apparatus to optimize GAP and GBS to filter proposals in the </w:t>
      </w:r>
      <w:proofErr w:type="spellStart"/>
      <w:r w:rsidRPr="00351F6D">
        <w:rPr>
          <w:rFonts w:asciiTheme="majorHAnsi" w:hAnsiTheme="majorHAnsi"/>
        </w:rPr>
        <w:t>Musrenbang</w:t>
      </w:r>
      <w:proofErr w:type="spellEnd"/>
      <w:r w:rsidRPr="00351F6D">
        <w:rPr>
          <w:rFonts w:asciiTheme="majorHAnsi" w:hAnsiTheme="majorHAnsi"/>
        </w:rPr>
        <w:t xml:space="preserve"> and the Sub-district Government Work Plan (RKP) to be in line with gender-responsive disaster mitigation.</w:t>
      </w:r>
    </w:p>
    <w:p w14:paraId="18561C3F" w14:textId="77777777" w:rsidR="00D67DE3" w:rsidRDefault="00D67DE3" w:rsidP="00E2714F">
      <w:pPr>
        <w:pStyle w:val="NormalWeb"/>
        <w:ind w:firstLine="426"/>
        <w:jc w:val="both"/>
        <w:rPr>
          <w:rFonts w:asciiTheme="majorHAnsi" w:hAnsiTheme="majorHAnsi"/>
        </w:rPr>
      </w:pPr>
    </w:p>
    <w:p w14:paraId="509D10BD" w14:textId="77777777" w:rsidR="00D67DE3" w:rsidRDefault="00D67DE3" w:rsidP="00E2714F">
      <w:pPr>
        <w:pStyle w:val="NormalWeb"/>
        <w:ind w:firstLine="426"/>
        <w:jc w:val="both"/>
        <w:rPr>
          <w:rFonts w:asciiTheme="majorHAnsi" w:hAnsiTheme="majorHAnsi"/>
        </w:rPr>
      </w:pPr>
    </w:p>
    <w:p w14:paraId="44A7B8B7" w14:textId="77777777" w:rsidR="00D67DE3" w:rsidRDefault="00D67DE3" w:rsidP="00E2714F">
      <w:pPr>
        <w:pStyle w:val="NormalWeb"/>
        <w:ind w:firstLine="426"/>
        <w:jc w:val="both"/>
        <w:rPr>
          <w:rFonts w:asciiTheme="majorHAnsi" w:hAnsiTheme="majorHAnsi"/>
        </w:rPr>
      </w:pPr>
    </w:p>
    <w:p w14:paraId="77FEC66E" w14:textId="77777777" w:rsidR="00D67DE3" w:rsidRPr="00351F6D" w:rsidRDefault="00D67DE3" w:rsidP="00E2714F">
      <w:pPr>
        <w:pStyle w:val="NormalWeb"/>
        <w:ind w:firstLine="426"/>
        <w:jc w:val="both"/>
        <w:rPr>
          <w:rFonts w:asciiTheme="majorHAnsi" w:hAnsiTheme="majorHAnsi"/>
        </w:rPr>
      </w:pPr>
    </w:p>
    <w:p w14:paraId="3B195643" w14:textId="560F1C09" w:rsidR="00351F6D" w:rsidRPr="00351F6D" w:rsidRDefault="00351F6D" w:rsidP="00351F6D">
      <w:pPr>
        <w:rPr>
          <w:rFonts w:asciiTheme="majorHAnsi" w:hAnsiTheme="majorHAnsi"/>
          <w:b/>
          <w:bCs/>
          <w:kern w:val="36"/>
          <w:szCs w:val="18"/>
        </w:rPr>
      </w:pPr>
      <w:r w:rsidRPr="007579C1">
        <w:rPr>
          <w:rFonts w:ascii="Cambria" w:hAnsi="Cambria"/>
          <w:b/>
          <w:bCs/>
          <w:noProof/>
        </w:rPr>
        <w:lastRenderedPageBreak/>
        <w:drawing>
          <wp:anchor distT="0" distB="0" distL="114300" distR="114300" simplePos="0" relativeHeight="251660288" behindDoc="0" locked="0" layoutInCell="1" allowOverlap="1" wp14:anchorId="1CB35AFD" wp14:editId="0A600CF2">
            <wp:simplePos x="0" y="0"/>
            <wp:positionH relativeFrom="column">
              <wp:posOffset>885100</wp:posOffset>
            </wp:positionH>
            <wp:positionV relativeFrom="paragraph">
              <wp:posOffset>152235</wp:posOffset>
            </wp:positionV>
            <wp:extent cx="3686400" cy="2296786"/>
            <wp:effectExtent l="0" t="0" r="0" b="2540"/>
            <wp:wrapNone/>
            <wp:docPr id="1327029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6400" cy="22967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33BE59" w14:textId="14C13F7E" w:rsidR="000A562F" w:rsidRDefault="000A562F" w:rsidP="00351F6D">
      <w:pPr>
        <w:jc w:val="both"/>
        <w:rPr>
          <w:rFonts w:ascii="Lustria" w:eastAsia="Lustria" w:hAnsi="Lustria" w:cs="Lustria"/>
        </w:rPr>
      </w:pPr>
    </w:p>
    <w:p w14:paraId="6C464901" w14:textId="77777777" w:rsidR="000A562F" w:rsidRDefault="000A562F">
      <w:pPr>
        <w:ind w:firstLine="426"/>
        <w:jc w:val="both"/>
        <w:rPr>
          <w:rFonts w:ascii="Lustria" w:eastAsia="Lustria" w:hAnsi="Lustria" w:cs="Lustria"/>
        </w:rPr>
      </w:pPr>
    </w:p>
    <w:p w14:paraId="3DECEA84" w14:textId="77777777" w:rsidR="000A562F" w:rsidRDefault="000A562F">
      <w:pPr>
        <w:ind w:firstLine="426"/>
        <w:jc w:val="both"/>
        <w:rPr>
          <w:rFonts w:ascii="Lustria" w:eastAsia="Lustria" w:hAnsi="Lustria" w:cs="Lustria"/>
        </w:rPr>
      </w:pPr>
    </w:p>
    <w:p w14:paraId="6AFC5C90" w14:textId="77777777" w:rsidR="000A562F" w:rsidRDefault="000A562F">
      <w:pPr>
        <w:ind w:firstLine="426"/>
        <w:jc w:val="both"/>
        <w:rPr>
          <w:rFonts w:ascii="Lustria" w:eastAsia="Lustria" w:hAnsi="Lustria" w:cs="Lustria"/>
        </w:rPr>
      </w:pPr>
    </w:p>
    <w:p w14:paraId="0B5149CB" w14:textId="77777777" w:rsidR="000A562F" w:rsidRDefault="000A562F">
      <w:pPr>
        <w:ind w:firstLine="426"/>
        <w:jc w:val="both"/>
        <w:rPr>
          <w:rFonts w:ascii="Lustria" w:eastAsia="Lustria" w:hAnsi="Lustria" w:cs="Lustria"/>
        </w:rPr>
      </w:pPr>
    </w:p>
    <w:p w14:paraId="1A9CA498" w14:textId="77777777" w:rsidR="00351F6D" w:rsidRDefault="00351F6D">
      <w:pPr>
        <w:ind w:firstLine="426"/>
        <w:jc w:val="both"/>
        <w:rPr>
          <w:rFonts w:ascii="Lustria" w:eastAsia="Lustria" w:hAnsi="Lustria" w:cs="Lustria"/>
        </w:rPr>
      </w:pPr>
    </w:p>
    <w:p w14:paraId="227F4598" w14:textId="77777777" w:rsidR="00351F6D" w:rsidRDefault="00351F6D">
      <w:pPr>
        <w:ind w:firstLine="426"/>
        <w:jc w:val="both"/>
        <w:rPr>
          <w:rFonts w:ascii="Lustria" w:eastAsia="Lustria" w:hAnsi="Lustria" w:cs="Lustria"/>
        </w:rPr>
      </w:pPr>
    </w:p>
    <w:p w14:paraId="46494C31" w14:textId="77777777" w:rsidR="00351F6D" w:rsidRDefault="00351F6D">
      <w:pPr>
        <w:ind w:firstLine="426"/>
        <w:jc w:val="both"/>
        <w:rPr>
          <w:rFonts w:ascii="Lustria" w:eastAsia="Lustria" w:hAnsi="Lustria" w:cs="Lustria"/>
        </w:rPr>
      </w:pPr>
    </w:p>
    <w:p w14:paraId="72611320" w14:textId="77777777" w:rsidR="00351F6D" w:rsidRDefault="00351F6D">
      <w:pPr>
        <w:ind w:firstLine="426"/>
        <w:jc w:val="both"/>
        <w:rPr>
          <w:rFonts w:ascii="Lustria" w:eastAsia="Lustria" w:hAnsi="Lustria" w:cs="Lustria"/>
        </w:rPr>
      </w:pPr>
    </w:p>
    <w:p w14:paraId="39945151" w14:textId="77777777" w:rsidR="00351F6D" w:rsidRDefault="00351F6D">
      <w:pPr>
        <w:ind w:firstLine="426"/>
        <w:jc w:val="both"/>
        <w:rPr>
          <w:rFonts w:ascii="Lustria" w:eastAsia="Lustria" w:hAnsi="Lustria" w:cs="Lustria"/>
        </w:rPr>
      </w:pPr>
    </w:p>
    <w:p w14:paraId="4C83A9AD" w14:textId="77777777" w:rsidR="00351F6D" w:rsidRDefault="00351F6D">
      <w:pPr>
        <w:ind w:firstLine="426"/>
        <w:jc w:val="both"/>
        <w:rPr>
          <w:rFonts w:ascii="Lustria" w:eastAsia="Lustria" w:hAnsi="Lustria" w:cs="Lustria"/>
        </w:rPr>
      </w:pPr>
    </w:p>
    <w:p w14:paraId="1A07969E" w14:textId="77777777" w:rsidR="00351F6D" w:rsidRDefault="00351F6D">
      <w:pPr>
        <w:ind w:firstLine="426"/>
        <w:jc w:val="both"/>
        <w:rPr>
          <w:rFonts w:ascii="Lustria" w:eastAsia="Lustria" w:hAnsi="Lustria" w:cs="Lustria"/>
        </w:rPr>
      </w:pPr>
    </w:p>
    <w:p w14:paraId="51F43624" w14:textId="786ED332" w:rsidR="00351F6D" w:rsidRPr="00351F6D" w:rsidRDefault="00351F6D" w:rsidP="00351F6D">
      <w:pPr>
        <w:rPr>
          <w:rFonts w:asciiTheme="majorHAnsi" w:hAnsiTheme="majorHAnsi"/>
          <w:lang w:val="nb-NO"/>
        </w:rPr>
      </w:pPr>
      <w:r w:rsidRPr="00351F6D">
        <w:rPr>
          <w:rFonts w:asciiTheme="majorHAnsi" w:hAnsiTheme="majorHAnsi"/>
          <w:b/>
          <w:bCs/>
        </w:rPr>
        <w:t xml:space="preserve">Graph 1. </w:t>
      </w:r>
      <w:r w:rsidRPr="00351F6D">
        <w:rPr>
          <w:rFonts w:asciiTheme="majorHAnsi" w:hAnsiTheme="majorHAnsi"/>
        </w:rPr>
        <w:t xml:space="preserve">PPRG Implementation Level in </w:t>
      </w:r>
      <w:proofErr w:type="spellStart"/>
      <w:r w:rsidRPr="00351F6D">
        <w:rPr>
          <w:rFonts w:asciiTheme="majorHAnsi" w:hAnsiTheme="majorHAnsi"/>
        </w:rPr>
        <w:t>Sirenja</w:t>
      </w:r>
      <w:proofErr w:type="spellEnd"/>
      <w:r w:rsidRPr="00351F6D">
        <w:rPr>
          <w:rFonts w:asciiTheme="majorHAnsi" w:hAnsiTheme="majorHAnsi"/>
        </w:rPr>
        <w:t xml:space="preserve"> District.</w:t>
      </w:r>
      <w:r>
        <w:rPr>
          <w:rFonts w:asciiTheme="majorHAnsi" w:hAnsiTheme="majorHAnsi"/>
          <w:lang w:val="nb-NO"/>
        </w:rPr>
        <w:t xml:space="preserve"> </w:t>
      </w:r>
      <w:r w:rsidRPr="00351F6D">
        <w:rPr>
          <w:rFonts w:asciiTheme="majorHAnsi" w:hAnsiTheme="majorHAnsi"/>
          <w:b/>
          <w:bCs/>
        </w:rPr>
        <w:t>Source:</w:t>
      </w:r>
      <w:r w:rsidRPr="00351F6D">
        <w:rPr>
          <w:rFonts w:asciiTheme="majorHAnsi" w:hAnsiTheme="majorHAnsi"/>
        </w:rPr>
        <w:t xml:space="preserve"> Results of the 2025 FGD in </w:t>
      </w:r>
      <w:proofErr w:type="spellStart"/>
      <w:r w:rsidRPr="00351F6D">
        <w:rPr>
          <w:rFonts w:asciiTheme="majorHAnsi" w:hAnsiTheme="majorHAnsi"/>
        </w:rPr>
        <w:t>Sirenja</w:t>
      </w:r>
      <w:proofErr w:type="spellEnd"/>
      <w:r w:rsidRPr="00351F6D">
        <w:rPr>
          <w:rFonts w:asciiTheme="majorHAnsi" w:hAnsiTheme="majorHAnsi"/>
        </w:rPr>
        <w:t xml:space="preserve"> District.</w:t>
      </w:r>
    </w:p>
    <w:p w14:paraId="53A26EAA" w14:textId="77777777" w:rsidR="00351F6D" w:rsidRDefault="00351F6D">
      <w:pPr>
        <w:ind w:firstLine="426"/>
        <w:jc w:val="both"/>
        <w:rPr>
          <w:rFonts w:ascii="Lustria" w:eastAsia="Lustria" w:hAnsi="Lustria" w:cs="Lustria"/>
        </w:rPr>
      </w:pPr>
    </w:p>
    <w:p w14:paraId="3EB8E42B" w14:textId="77777777" w:rsidR="00351F6D" w:rsidRPr="00351F6D" w:rsidRDefault="00351F6D" w:rsidP="00351F6D">
      <w:pPr>
        <w:pStyle w:val="NormalWeb"/>
        <w:ind w:firstLine="426"/>
        <w:jc w:val="both"/>
        <w:rPr>
          <w:rFonts w:asciiTheme="majorHAnsi" w:hAnsiTheme="majorHAnsi"/>
          <w:i/>
          <w:iCs/>
        </w:rPr>
      </w:pPr>
      <w:r w:rsidRPr="00351F6D">
        <w:rPr>
          <w:rFonts w:asciiTheme="majorHAnsi" w:hAnsiTheme="majorHAnsi"/>
        </w:rPr>
        <w:t xml:space="preserve">Evaluation of the implementation of Gender Responsive Development Planning (PPRG) in </w:t>
      </w:r>
      <w:proofErr w:type="spellStart"/>
      <w:r w:rsidRPr="00351F6D">
        <w:rPr>
          <w:rFonts w:asciiTheme="majorHAnsi" w:hAnsiTheme="majorHAnsi"/>
        </w:rPr>
        <w:t>Sirenja</w:t>
      </w:r>
      <w:proofErr w:type="spellEnd"/>
      <w:r w:rsidRPr="00351F6D">
        <w:rPr>
          <w:rFonts w:asciiTheme="majorHAnsi" w:hAnsiTheme="majorHAnsi"/>
        </w:rPr>
        <w:t xml:space="preserve"> District shows a fragmented reality. Based on data extraction </w:t>
      </w:r>
      <w:r w:rsidRPr="00351F6D">
        <w:rPr>
          <w:rFonts w:asciiTheme="majorHAnsi" w:hAnsiTheme="majorHAnsi"/>
          <w:i/>
          <w:iCs/>
        </w:rPr>
        <w:t>Focus Group Discussion</w:t>
      </w:r>
      <w:r w:rsidRPr="00351F6D">
        <w:rPr>
          <w:rFonts w:asciiTheme="majorHAnsi" w:hAnsiTheme="majorHAnsi"/>
        </w:rPr>
        <w:t xml:space="preserve"> (FGD) regarding the level of implementation of PPRG on five main themes, a significant disparity in achievement was found. The theme 'Good Practices' recorded the highest score (60%), which was represented by local initiatives at the village level, such as the activity of the Women and Children Protection Task Force (PPA) and the optimization of Human Development Cadres (KPM) in the convergence of declines </w:t>
      </w:r>
      <w:r w:rsidRPr="00351F6D">
        <w:rPr>
          <w:rFonts w:asciiTheme="majorHAnsi" w:hAnsiTheme="majorHAnsi"/>
          <w:i/>
          <w:iCs/>
        </w:rPr>
        <w:t>stunting</w:t>
      </w:r>
      <w:r w:rsidRPr="00351F6D">
        <w:rPr>
          <w:rFonts w:asciiTheme="majorHAnsi" w:hAnsiTheme="majorHAnsi"/>
        </w:rPr>
        <w:t xml:space="preserve">. These </w:t>
      </w:r>
      <w:proofErr w:type="spellStart"/>
      <w:r w:rsidRPr="00351F6D">
        <w:rPr>
          <w:rFonts w:asciiTheme="majorHAnsi" w:hAnsiTheme="majorHAnsi"/>
        </w:rPr>
        <w:t>microsectoral</w:t>
      </w:r>
      <w:proofErr w:type="spellEnd"/>
      <w:r w:rsidRPr="00351F6D">
        <w:rPr>
          <w:rFonts w:asciiTheme="majorHAnsi" w:hAnsiTheme="majorHAnsi"/>
        </w:rPr>
        <w:t xml:space="preserve"> successes show that when gender issues are aligned with national priority agendas (such as addressing </w:t>
      </w:r>
      <w:r w:rsidRPr="00351F6D">
        <w:rPr>
          <w:rFonts w:asciiTheme="majorHAnsi" w:hAnsiTheme="majorHAnsi"/>
          <w:i/>
          <w:iCs/>
        </w:rPr>
        <w:t>stunting</w:t>
      </w:r>
      <w:r w:rsidRPr="00351F6D">
        <w:rPr>
          <w:rFonts w:asciiTheme="majorHAnsi" w:hAnsiTheme="majorHAnsi"/>
        </w:rPr>
        <w:t xml:space="preserve">), the impetus for its implementation becomes stronger </w:t>
      </w:r>
      <w:r w:rsidRPr="00351F6D">
        <w:rPr>
          <w:rFonts w:asciiTheme="majorHAnsi" w:hAnsiTheme="majorHAnsi"/>
        </w:rPr>
        <w:fldChar w:fldCharType="begin"/>
      </w:r>
      <w:r w:rsidRPr="00351F6D">
        <w:rPr>
          <w:rFonts w:asciiTheme="majorHAnsi" w:hAnsiTheme="majorHAnsi"/>
        </w:rPr>
        <w:instrText xml:space="preserve"> ADDIN ZOTERO_ITEM CSL_CITATION {"citationID":"Q1qBEDcn","properties":{"formattedCitation":"(Soleha &amp; Afriyanni, 2021)","plainCitation":"(Soleha &amp; Afriyanni, 2021)","noteIndex":0},"citationItems":[{"id":77,"uris":["http://zotero.org/users/local/yobKiu6n/items/WUDYIM5Q"],"itemData":{"id":77,"type":"article-journal","DOI":"https://doi.org/10.31258/sorot.16.2.71-84","ISSN":"2623-1875","page":"71-84","publisher":"SOROT: Jurnal Ilmu-ilmu Sosial","title":"Evaluasi Pelaksanaan Pengarusutamaan Gender (PUG) kota Pekanbaru","volume":"16(2)","author":[{"family":"Soleha","given":"Siti"},{"family":"Afriyanni","given":"Afriyanni"}],"issued":{"date-parts":[["2021"]]}}}],"schema":"https://github.com/citation-style-language/schema/raw/master/csl-citation.json"}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(Soleha &amp; Afriyanni, 2021)</w:t>
      </w:r>
      <w:r w:rsidRPr="00351F6D">
        <w:rPr>
          <w:rFonts w:asciiTheme="majorHAnsi" w:hAnsiTheme="majorHAnsi"/>
        </w:rPr>
        <w:fldChar w:fldCharType="end"/>
      </w:r>
      <w:r w:rsidRPr="00351F6D">
        <w:rPr>
          <w:rFonts w:asciiTheme="majorHAnsi" w:hAnsiTheme="majorHAnsi"/>
          <w:i/>
          <w:iCs/>
        </w:rPr>
        <w:t>.</w:t>
      </w:r>
    </w:p>
    <w:p w14:paraId="01BCB12A" w14:textId="77777777" w:rsidR="00351F6D" w:rsidRPr="00351F6D" w:rsidRDefault="00351F6D" w:rsidP="00351F6D">
      <w:pPr>
        <w:pStyle w:val="NormalWeb"/>
        <w:ind w:firstLine="426"/>
        <w:jc w:val="both"/>
        <w:rPr>
          <w:rFonts w:asciiTheme="majorHAnsi" w:hAnsiTheme="majorHAnsi"/>
          <w:i/>
          <w:iCs/>
        </w:rPr>
      </w:pPr>
      <w:r w:rsidRPr="00351F6D">
        <w:rPr>
          <w:rFonts w:asciiTheme="majorHAnsi" w:hAnsiTheme="majorHAnsi"/>
        </w:rPr>
        <w:t xml:space="preserve">In contrast, in the 'Infrastructure and Public Services' cluster, the score plummeted to the lowest point (25%). This figure is a critical indicator that the physical development paradigm in the region is still dominated by masculine bias, which ignores the urgency of inclusive and gender-friendly facilities. The low allocation of gender-responsive infrastructure budgets is rooted in the uncertainty of regional budget governance and the strong latent resistance of bureaucratic actors to the concept of gender which is still considered a "foreign" agenda </w:t>
      </w:r>
      <w:r w:rsidRPr="00351F6D">
        <w:rPr>
          <w:rFonts w:asciiTheme="majorHAnsi" w:hAnsiTheme="majorHAnsi"/>
        </w:rPr>
        <w:fldChar w:fldCharType="begin"/>
      </w:r>
      <w:r w:rsidRPr="00351F6D">
        <w:rPr>
          <w:rFonts w:asciiTheme="majorHAnsi" w:hAnsiTheme="majorHAnsi"/>
        </w:rPr>
        <w:instrText xml:space="preserve"> ADDIN ZOTERO_ITEM CSL_CITATION {"citationID":"HO9YNYv2","properties":{"formattedCitation":"(Hadi, 2024)","plainCitation":"(Hadi, 2024)","noteIndex":0},"citationItems":[{"id":87,"uris":["http://zotero.org/users/local/yobKiu6n/items/FMGTIEH7"],"itemData":{"id":87,"type":"article-journal","DOI":"10.30589/proceedings.2024.1049","page":"157-169","publisher":"Iapa Proceedings Conference","title":"Implementasi dan Tantangan Anggaran Responsif Gender: Studi Literature.","author":[{"family":"Hadi","given":"H"}],"issued":{"date-parts":[["2024"]]}}}],"schema":"https://github.com/citation-style-language/schema/raw/master/csl-citation.json"}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(Hadi, 2024)</w:t>
      </w:r>
      <w:r w:rsidRPr="00351F6D">
        <w:rPr>
          <w:rFonts w:asciiTheme="majorHAnsi" w:hAnsiTheme="majorHAnsi"/>
        </w:rPr>
        <w:fldChar w:fldCharType="end"/>
      </w:r>
      <w:r w:rsidRPr="00351F6D">
        <w:rPr>
          <w:rFonts w:asciiTheme="majorHAnsi" w:hAnsiTheme="majorHAnsi"/>
          <w:i/>
          <w:iCs/>
        </w:rPr>
        <w:t>.</w:t>
      </w:r>
    </w:p>
    <w:p w14:paraId="4B238032" w14:textId="28DEADC2" w:rsidR="00351F6D" w:rsidRPr="00351F6D" w:rsidRDefault="00351F6D" w:rsidP="00351F6D">
      <w:pPr>
        <w:pStyle w:val="NormalWeb"/>
        <w:ind w:firstLine="426"/>
        <w:jc w:val="both"/>
        <w:rPr>
          <w:rFonts w:asciiTheme="majorHAnsi" w:hAnsiTheme="majorHAnsi"/>
          <w:i/>
          <w:iCs/>
        </w:rPr>
      </w:pPr>
      <w:r w:rsidRPr="00351F6D">
        <w:rPr>
          <w:rFonts w:asciiTheme="majorHAnsi" w:hAnsiTheme="majorHAnsi"/>
        </w:rPr>
        <w:t xml:space="preserve">Furthermore, these findings underscore structural weaknesses in coordination governance. Referring to the theory of governance, the effectiveness of a public policy is impossible to achieve without an interactive coordination network that breaks the silo mentality </w:t>
      </w:r>
      <w:r w:rsidRPr="00351F6D">
        <w:rPr>
          <w:rFonts w:asciiTheme="majorHAnsi" w:hAnsiTheme="majorHAnsi"/>
        </w:rPr>
        <w:fldChar w:fldCharType="begin"/>
      </w:r>
      <w:r w:rsidRPr="00351F6D">
        <w:rPr>
          <w:rFonts w:asciiTheme="majorHAnsi" w:hAnsiTheme="majorHAnsi"/>
        </w:rPr>
        <w:instrText xml:space="preserve"> ADDIN ZOTERO_ITEM CSL_CITATION {"citationID":"STa9T1cu","properties":{"formattedCitation":"(Pierre &amp; Peters, 2000)","plainCitation":"(Pierre &amp; Peters, 2000)","noteIndex":0},"citationItems":[{"id":88,"uris":["http://zotero.org/users/local/yobKiu6n/items/M9ZV5SIU"],"itemData":{"id":88,"type":"book","publisher":"Macmillan Press","title":"Governance, politics and the state","author":[{"family":"Pierre","given":"J"},{"family":"Peters","given":"B.G"}],"issued":{"date-parts":[["2000"]]}}}],"schema":"https://github.com/citation-style-language/schema/raw/master/csl-citation.json"}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(Pierre &amp; Peters, 2000)</w:t>
      </w:r>
      <w:r w:rsidRPr="00351F6D">
        <w:rPr>
          <w:rFonts w:asciiTheme="majorHAnsi" w:hAnsiTheme="majorHAnsi"/>
        </w:rPr>
        <w:fldChar w:fldCharType="end"/>
      </w:r>
      <w:r w:rsidRPr="00351F6D">
        <w:rPr>
          <w:rFonts w:asciiTheme="majorHAnsi" w:hAnsiTheme="majorHAnsi"/>
        </w:rPr>
        <w:t xml:space="preserve">. Although </w:t>
      </w:r>
      <w:proofErr w:type="spellStart"/>
      <w:r w:rsidRPr="00351F6D">
        <w:rPr>
          <w:rFonts w:asciiTheme="majorHAnsi" w:hAnsiTheme="majorHAnsi"/>
        </w:rPr>
        <w:t>Perbup</w:t>
      </w:r>
      <w:proofErr w:type="spellEnd"/>
      <w:r w:rsidRPr="00351F6D">
        <w:rPr>
          <w:rFonts w:asciiTheme="majorHAnsi" w:hAnsiTheme="majorHAnsi"/>
        </w:rPr>
        <w:t xml:space="preserve"> </w:t>
      </w:r>
      <w:proofErr w:type="spellStart"/>
      <w:r w:rsidRPr="00351F6D">
        <w:rPr>
          <w:rFonts w:asciiTheme="majorHAnsi" w:hAnsiTheme="majorHAnsi"/>
        </w:rPr>
        <w:t>Donggala</w:t>
      </w:r>
      <w:proofErr w:type="spellEnd"/>
      <w:r w:rsidRPr="00351F6D">
        <w:rPr>
          <w:rFonts w:asciiTheme="majorHAnsi" w:hAnsiTheme="majorHAnsi"/>
        </w:rPr>
        <w:t xml:space="preserve"> 13/2024 textually requires cross-sectoral integration, practice on the ground shows that PUG is still seen as an exclusive sectoral burden belonging to the women's empowerment office, not a collective responsibility. Weak vertical coordination between the district apparatus and </w:t>
      </w:r>
      <w:r w:rsidRPr="00351F6D">
        <w:rPr>
          <w:rFonts w:asciiTheme="majorHAnsi" w:hAnsiTheme="majorHAnsi"/>
          <w:i/>
          <w:iCs/>
        </w:rPr>
        <w:t>Focal Point</w:t>
      </w:r>
      <w:r w:rsidRPr="00351F6D">
        <w:rPr>
          <w:rFonts w:asciiTheme="majorHAnsi" w:hAnsiTheme="majorHAnsi"/>
        </w:rPr>
        <w:t xml:space="preserve"> at the sub-district level causing policy dissonance </w:t>
      </w:r>
      <w:r w:rsidRPr="00351F6D">
        <w:rPr>
          <w:rFonts w:asciiTheme="majorHAnsi" w:hAnsiTheme="majorHAnsi"/>
        </w:rPr>
        <w:fldChar w:fldCharType="begin"/>
      </w:r>
      <w:r w:rsidRPr="00351F6D">
        <w:rPr>
          <w:rFonts w:asciiTheme="majorHAnsi" w:hAnsiTheme="majorHAnsi"/>
        </w:rPr>
        <w:instrText xml:space="preserve"> ADDIN ZOTERO_ITEM CSL_CITATION {"citationID":"zQcdu67Z","properties":{"formattedCitation":"(Girsang dkk., 2025)","plainCitation":"(Girsang dkk., 2025)","noteIndex":0},"citationItems":[{"id":89,"uris":["http://zotero.org/users/local/yobKiu6n/items/SNG2HFF7"],"itemData":{"id":89,"type":"article-journal","container-title":"Moderat : Jurnal Ilmiah Ilmu Pemerintahan","ISSN":"2622-691X","page":"79-84","title":"IMPLEMENTASI KEBIJAKAN PENGARUSUTAMAAN GENDER DI KOTA BANJAR","author":[{"family":"Girsang","given":"Nova Chalimah"},{"family":"Purnama","given":"Riza"},{"family":"Hidayat","given":"Eet Saeful"}],"issued":{"date-parts":[["2025"]]}}}],"schema":"https://github.com/citation-style-language/schema/raw/master/csl-citation.json"} </w:instrText>
      </w:r>
      <w:r w:rsidRPr="00351F6D">
        <w:rPr>
          <w:rFonts w:asciiTheme="majorHAnsi" w:hAnsiTheme="majorHAnsi"/>
        </w:rPr>
        <w:fldChar w:fldCharType="separate"/>
      </w:r>
      <w:r w:rsidRPr="00351F6D">
        <w:rPr>
          <w:rFonts w:asciiTheme="majorHAnsi" w:hAnsiTheme="majorHAnsi"/>
          <w:noProof/>
        </w:rPr>
        <w:t>(Girsang et al., 2025)</w:t>
      </w:r>
      <w:r w:rsidRPr="00351F6D">
        <w:rPr>
          <w:rFonts w:asciiTheme="majorHAnsi" w:hAnsiTheme="majorHAnsi"/>
        </w:rPr>
        <w:fldChar w:fldCharType="end"/>
      </w:r>
      <w:r w:rsidRPr="00351F6D">
        <w:rPr>
          <w:rFonts w:asciiTheme="majorHAnsi" w:hAnsiTheme="majorHAnsi"/>
        </w:rPr>
        <w:t>. As a result, the existence of existing regulatory instruments has only succeeded in creating a legal basis (</w:t>
      </w:r>
      <w:r w:rsidRPr="00351F6D">
        <w:rPr>
          <w:rFonts w:asciiTheme="majorHAnsi" w:hAnsiTheme="majorHAnsi"/>
          <w:i/>
          <w:iCs/>
        </w:rPr>
        <w:t>regulatory framework</w:t>
      </w:r>
      <w:r w:rsidRPr="00351F6D">
        <w:rPr>
          <w:rFonts w:asciiTheme="majorHAnsi" w:hAnsiTheme="majorHAnsi"/>
        </w:rPr>
        <w:t>), but has not been fully able to transform into a mechanism for institutionalizing bureaucratic culture that is truly gender responsive at the grassroots level.</w:t>
      </w:r>
    </w:p>
    <w:p w14:paraId="508D7F57" w14:textId="77777777" w:rsidR="00351F6D" w:rsidRDefault="00351F6D">
      <w:pPr>
        <w:ind w:firstLine="426"/>
        <w:jc w:val="both"/>
        <w:rPr>
          <w:rFonts w:ascii="Lustria" w:eastAsia="Lustria" w:hAnsi="Lustria" w:cs="Lustria"/>
        </w:rPr>
      </w:pPr>
    </w:p>
    <w:p w14:paraId="41891B4B" w14:textId="77777777" w:rsidR="00351F6D" w:rsidRDefault="00351F6D">
      <w:pPr>
        <w:ind w:firstLine="426"/>
        <w:jc w:val="both"/>
        <w:rPr>
          <w:rFonts w:ascii="Lustria" w:eastAsia="Lustria" w:hAnsi="Lustria" w:cs="Lustria"/>
        </w:rPr>
      </w:pPr>
    </w:p>
    <w:p w14:paraId="37995DDD" w14:textId="5BC23D86" w:rsidR="00351F6D" w:rsidRDefault="00D67DE3" w:rsidP="00351F6D">
      <w:pPr>
        <w:spacing w:before="100" w:beforeAutospacing="1" w:after="100" w:afterAutospacing="1"/>
        <w:outlineLvl w:val="0"/>
        <w:rPr>
          <w:rFonts w:asciiTheme="majorHAnsi" w:hAnsiTheme="majorHAnsi"/>
          <w:b/>
          <w:bCs/>
          <w:kern w:val="36"/>
        </w:rPr>
      </w:pPr>
      <w:r>
        <w:rPr>
          <w:rFonts w:asciiTheme="majorHAnsi" w:hAnsiTheme="majorHAnsi"/>
          <w:b/>
          <w:bCs/>
          <w:kern w:val="36"/>
        </w:rPr>
        <w:t>3</w:t>
      </w:r>
      <w:r w:rsidR="00351F6D" w:rsidRPr="00351F6D">
        <w:rPr>
          <w:rFonts w:asciiTheme="majorHAnsi" w:hAnsiTheme="majorHAnsi"/>
          <w:b/>
          <w:bCs/>
          <w:kern w:val="36"/>
        </w:rPr>
        <w:t>.2 Regulatory Framework (</w:t>
      </w:r>
      <w:proofErr w:type="spellStart"/>
      <w:r w:rsidR="00351F6D" w:rsidRPr="00351F6D">
        <w:rPr>
          <w:rFonts w:asciiTheme="majorHAnsi" w:hAnsiTheme="majorHAnsi"/>
          <w:b/>
          <w:bCs/>
          <w:kern w:val="36"/>
        </w:rPr>
        <w:t>Perbup</w:t>
      </w:r>
      <w:proofErr w:type="spellEnd"/>
      <w:r w:rsidR="00351F6D" w:rsidRPr="00351F6D">
        <w:rPr>
          <w:rFonts w:asciiTheme="majorHAnsi" w:hAnsiTheme="majorHAnsi"/>
          <w:b/>
          <w:bCs/>
          <w:kern w:val="36"/>
        </w:rPr>
        <w:t xml:space="preserve"> 13/2024)</w:t>
      </w:r>
    </w:p>
    <w:p w14:paraId="41D25D04" w14:textId="12A1FF31"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Field findings reveal a sharp </w:t>
      </w:r>
      <w:r w:rsidRPr="000F487F">
        <w:rPr>
          <w:rFonts w:asciiTheme="majorHAnsi" w:hAnsiTheme="majorHAnsi"/>
          <w:i/>
          <w:iCs/>
        </w:rPr>
        <w:t>institutional disconnect</w:t>
      </w:r>
      <w:r w:rsidRPr="000F487F">
        <w:rPr>
          <w:rFonts w:asciiTheme="majorHAnsi" w:hAnsiTheme="majorHAnsi"/>
        </w:rPr>
        <w:t xml:space="preserve"> between the normative regulatory framework in </w:t>
      </w:r>
      <w:proofErr w:type="spellStart"/>
      <w:r w:rsidRPr="000F487F">
        <w:rPr>
          <w:rFonts w:asciiTheme="majorHAnsi" w:hAnsiTheme="majorHAnsi"/>
        </w:rPr>
        <w:t>Donggala</w:t>
      </w:r>
      <w:proofErr w:type="spellEnd"/>
      <w:r w:rsidRPr="000F487F">
        <w:rPr>
          <w:rFonts w:asciiTheme="majorHAnsi" w:hAnsiTheme="majorHAnsi"/>
        </w:rPr>
        <w:t xml:space="preserve"> Regent Regulation Number 13 of 2024 and the operational reality at the regional apparatus (OPD) and sub-district organizational levels. De </w:t>
      </w:r>
      <w:r w:rsidRPr="000F487F">
        <w:rPr>
          <w:rFonts w:asciiTheme="majorHAnsi" w:hAnsiTheme="majorHAnsi"/>
          <w:i/>
          <w:iCs/>
        </w:rPr>
        <w:t>jure</w:t>
      </w:r>
      <w:r w:rsidRPr="000F487F">
        <w:rPr>
          <w:rFonts w:asciiTheme="majorHAnsi" w:hAnsiTheme="majorHAnsi"/>
        </w:rPr>
        <w:t xml:space="preserve">, </w:t>
      </w:r>
      <w:proofErr w:type="spellStart"/>
      <w:r w:rsidRPr="000F487F">
        <w:rPr>
          <w:rFonts w:asciiTheme="majorHAnsi" w:hAnsiTheme="majorHAnsi"/>
        </w:rPr>
        <w:t>Perbup</w:t>
      </w:r>
      <w:proofErr w:type="spellEnd"/>
      <w:r w:rsidRPr="000F487F">
        <w:rPr>
          <w:rFonts w:asciiTheme="majorHAnsi" w:hAnsiTheme="majorHAnsi"/>
        </w:rPr>
        <w:t xml:space="preserve"> 13/2024 has mandated a comprehensive institutional architecture, starting from the establishment of the PUG Working Group to the appointment of </w:t>
      </w:r>
      <w:r w:rsidRPr="000F487F">
        <w:rPr>
          <w:rFonts w:asciiTheme="majorHAnsi" w:hAnsiTheme="majorHAnsi"/>
          <w:i/>
          <w:iCs/>
        </w:rPr>
        <w:t>a Focal Point</w:t>
      </w:r>
      <w:r w:rsidRPr="000F487F">
        <w:rPr>
          <w:rFonts w:asciiTheme="majorHAnsi" w:hAnsiTheme="majorHAnsi"/>
        </w:rPr>
        <w:t xml:space="preserve"> in </w:t>
      </w:r>
      <w:proofErr w:type="spellStart"/>
      <w:r w:rsidRPr="000F487F">
        <w:rPr>
          <w:rFonts w:asciiTheme="majorHAnsi" w:hAnsiTheme="majorHAnsi"/>
        </w:rPr>
        <w:t>Sirenja</w:t>
      </w:r>
      <w:proofErr w:type="spellEnd"/>
      <w:r w:rsidRPr="000F487F">
        <w:rPr>
          <w:rFonts w:asciiTheme="majorHAnsi" w:hAnsiTheme="majorHAnsi"/>
        </w:rPr>
        <w:t xml:space="preserve"> District. However, de </w:t>
      </w:r>
      <w:r w:rsidRPr="000F487F">
        <w:rPr>
          <w:rFonts w:asciiTheme="majorHAnsi" w:hAnsiTheme="majorHAnsi"/>
          <w:i/>
          <w:iCs/>
        </w:rPr>
        <w:t>facto</w:t>
      </w:r>
      <w:r w:rsidRPr="000F487F">
        <w:rPr>
          <w:rFonts w:asciiTheme="majorHAnsi" w:hAnsiTheme="majorHAnsi"/>
        </w:rPr>
        <w:t xml:space="preserve">, this architecture suffers from functional paralysis. The admission of the resource persons who have the status of </w:t>
      </w:r>
      <w:r w:rsidRPr="000F487F">
        <w:rPr>
          <w:rFonts w:asciiTheme="majorHAnsi" w:hAnsiTheme="majorHAnsi"/>
          <w:i/>
          <w:iCs/>
        </w:rPr>
        <w:t>Focal Point</w:t>
      </w:r>
      <w:r w:rsidRPr="000F487F">
        <w:rPr>
          <w:rFonts w:asciiTheme="majorHAnsi" w:hAnsiTheme="majorHAnsi"/>
        </w:rPr>
        <w:t xml:space="preserve"> that they "do not know the basic essence of PPRG" and view gender activities as limited to "ceremonial training without </w:t>
      </w:r>
      <w:r w:rsidRPr="000F487F">
        <w:rPr>
          <w:rFonts w:asciiTheme="majorHAnsi" w:hAnsiTheme="majorHAnsi"/>
          <w:i/>
          <w:iCs/>
        </w:rPr>
        <w:t>outcomes</w:t>
      </w:r>
      <w:r w:rsidRPr="000F487F">
        <w:rPr>
          <w:rFonts w:asciiTheme="majorHAnsi" w:hAnsiTheme="majorHAnsi"/>
        </w:rPr>
        <w:t xml:space="preserve">," proves that the </w:t>
      </w:r>
      <w:r w:rsidRPr="000F487F">
        <w:rPr>
          <w:rFonts w:asciiTheme="majorHAnsi" w:hAnsiTheme="majorHAnsi"/>
          <w:i/>
          <w:iCs/>
        </w:rPr>
        <w:t>mandate of capacity building</w:t>
      </w:r>
      <w:r w:rsidRPr="000F487F">
        <w:rPr>
          <w:rFonts w:asciiTheme="majorHAnsi" w:hAnsiTheme="majorHAnsi"/>
        </w:rPr>
        <w:t xml:space="preserve"> in the </w:t>
      </w:r>
      <w:proofErr w:type="spellStart"/>
      <w:r w:rsidRPr="000F487F">
        <w:rPr>
          <w:rFonts w:asciiTheme="majorHAnsi" w:hAnsiTheme="majorHAnsi"/>
        </w:rPr>
        <w:t>Perbup</w:t>
      </w:r>
      <w:proofErr w:type="spellEnd"/>
      <w:r w:rsidRPr="000F487F">
        <w:rPr>
          <w:rFonts w:asciiTheme="majorHAnsi" w:hAnsiTheme="majorHAnsi"/>
        </w:rPr>
        <w:t xml:space="preserve"> has not been executed.</w:t>
      </w:r>
    </w:p>
    <w:p w14:paraId="38113A91" w14:textId="77777777"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This phenomenon confirms the classic warning </w:t>
      </w:r>
      <w:r w:rsidRPr="000F487F">
        <w:rPr>
          <w:rFonts w:asciiTheme="majorHAnsi" w:hAnsiTheme="majorHAnsi"/>
        </w:rPr>
        <w:fldChar w:fldCharType="begin"/>
      </w:r>
      <w:r w:rsidRPr="000F487F">
        <w:rPr>
          <w:rFonts w:asciiTheme="majorHAnsi" w:hAnsiTheme="majorHAnsi"/>
        </w:rPr>
        <w:instrText xml:space="preserve"> ADDIN ZOTERO_ITEM CSL_CITATION {"citationID":"iQDfyoqD","properties":{"formattedCitation":"(Goetz, 1997)","plainCitation":"(Goetz, 1997)","noteIndex":0},"citationItems":[{"id":84,"uris":["http://zotero.org/users/local/yobKiu6n/items/MEEH6VGY"],"itemData":{"id":84,"type":"book","number-of-pages":"248","publisher":"Zed Books","publisher-place":"London","title":"Getting institutions right for women in development","author":[{"family":"Goetz","given":"A.M"}],"issued":{"date-parts":[["1997"]]}}}],"schema":"https://github.com/citation-style-language/schema/raw/master/csl-citation.json"}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(Goetz, 1997)</w:t>
      </w:r>
      <w:r w:rsidRPr="000F487F">
        <w:rPr>
          <w:rFonts w:asciiTheme="majorHAnsi" w:hAnsiTheme="majorHAnsi"/>
        </w:rPr>
        <w:fldChar w:fldCharType="end"/>
      </w:r>
      <w:r w:rsidRPr="000F487F">
        <w:rPr>
          <w:rFonts w:asciiTheme="majorHAnsi" w:hAnsiTheme="majorHAnsi"/>
        </w:rPr>
        <w:t xml:space="preserve"> About the vulnerability </w:t>
      </w:r>
      <w:r w:rsidRPr="000F487F">
        <w:rPr>
          <w:rFonts w:asciiTheme="majorHAnsi" w:hAnsiTheme="majorHAnsi"/>
          <w:i/>
          <w:iCs/>
        </w:rPr>
        <w:t>gender machinery</w:t>
      </w:r>
      <w:r w:rsidRPr="000F487F">
        <w:rPr>
          <w:rFonts w:asciiTheme="majorHAnsi" w:hAnsiTheme="majorHAnsi"/>
        </w:rPr>
        <w:t xml:space="preserve"> marginalized. In the context of local governance in Indonesia today, the conditions in </w:t>
      </w:r>
      <w:proofErr w:type="spellStart"/>
      <w:r w:rsidRPr="000F487F">
        <w:rPr>
          <w:rFonts w:asciiTheme="majorHAnsi" w:hAnsiTheme="majorHAnsi"/>
        </w:rPr>
        <w:t>Donggala</w:t>
      </w:r>
      <w:proofErr w:type="spellEnd"/>
      <w:r w:rsidRPr="000F487F">
        <w:rPr>
          <w:rFonts w:asciiTheme="majorHAnsi" w:hAnsiTheme="majorHAnsi"/>
        </w:rPr>
        <w:t xml:space="preserve"> represent what is called by the </w:t>
      </w:r>
      <w:r w:rsidRPr="000F487F">
        <w:rPr>
          <w:rFonts w:asciiTheme="majorHAnsi" w:hAnsiTheme="majorHAnsi"/>
        </w:rPr>
        <w:fldChar w:fldCharType="begin"/>
      </w:r>
      <w:r w:rsidRPr="000F487F">
        <w:rPr>
          <w:rFonts w:asciiTheme="majorHAnsi" w:hAnsiTheme="majorHAnsi"/>
        </w:rPr>
        <w:instrText xml:space="preserve"> ADDIN ZOTERO_ITEM CSL_CITATION {"citationID":"8apr3zHk","properties":{"formattedCitation":"(Soleha &amp; Afriyanni, 2021)","plainCitation":"(Soleha &amp; Afriyanni, 2021)","noteIndex":0},"citationItems":[{"id":77,"uris":["http://zotero.org/users/local/yobKiu6n/items/WUDYIM5Q"],"itemData":{"id":77,"type":"article-journal","DOI":"https://doi.org/10.31258/sorot.16.2.71-84","ISSN":"2623-1875","page":"71-84","publisher":"SOROT: Jurnal Ilmu-ilmu Sosial","title":"Evaluasi Pelaksanaan Pengarusutamaan Gender (PUG) kota Pekanbaru","volume":"16(2)","author":[{"family":"Soleha","given":"Siti"},{"family":"Afriyanni","given":"Afriyanni"}],"issued":{"date-parts":[["2021"]]}}}],"schema":"https://github.com/citation-style-language/schema/raw/master/csl-citation.json"}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Soleha &amp; Afriyanni (2021)</w:t>
      </w:r>
      <w:r w:rsidRPr="000F487F">
        <w:rPr>
          <w:rFonts w:asciiTheme="majorHAnsi" w:hAnsiTheme="majorHAnsi"/>
        </w:rPr>
        <w:fldChar w:fldCharType="end"/>
      </w:r>
      <w:r w:rsidRPr="000F487F">
        <w:rPr>
          <w:rFonts w:asciiTheme="majorHAnsi" w:hAnsiTheme="majorHAnsi"/>
        </w:rPr>
        <w:t xml:space="preserve"> as "symbolic obedience" (</w:t>
      </w:r>
      <w:r w:rsidRPr="000F487F">
        <w:rPr>
          <w:rFonts w:asciiTheme="majorHAnsi" w:hAnsiTheme="majorHAnsi"/>
          <w:i/>
          <w:iCs/>
        </w:rPr>
        <w:t>symbolic compliance</w:t>
      </w:r>
      <w:r w:rsidRPr="000F487F">
        <w:rPr>
          <w:rFonts w:asciiTheme="majorHAnsi" w:hAnsiTheme="majorHAnsi"/>
        </w:rPr>
        <w:t xml:space="preserve">). Local governments tend to establish PUG organizational structures solely to drop administrative obligations or pursue ceremonial awards (such as the </w:t>
      </w:r>
      <w:proofErr w:type="spellStart"/>
      <w:r w:rsidRPr="000F487F">
        <w:rPr>
          <w:rFonts w:asciiTheme="majorHAnsi" w:hAnsiTheme="majorHAnsi"/>
        </w:rPr>
        <w:t>Parahita</w:t>
      </w:r>
      <w:proofErr w:type="spellEnd"/>
      <w:r w:rsidRPr="000F487F">
        <w:rPr>
          <w:rFonts w:asciiTheme="majorHAnsi" w:hAnsiTheme="majorHAnsi"/>
        </w:rPr>
        <w:t xml:space="preserve"> </w:t>
      </w:r>
      <w:proofErr w:type="spellStart"/>
      <w:r w:rsidRPr="000F487F">
        <w:rPr>
          <w:rFonts w:asciiTheme="majorHAnsi" w:hAnsiTheme="majorHAnsi"/>
        </w:rPr>
        <w:t>Ekapraya</w:t>
      </w:r>
      <w:proofErr w:type="spellEnd"/>
      <w:r w:rsidRPr="000F487F">
        <w:rPr>
          <w:rFonts w:asciiTheme="majorHAnsi" w:hAnsiTheme="majorHAnsi"/>
        </w:rPr>
        <w:t xml:space="preserve"> Award), but refuse to provide operational legitimacy, technical capacity, or real access to the arena of strategic policy formulation </w:t>
      </w:r>
      <w:r w:rsidRPr="000F487F">
        <w:rPr>
          <w:rFonts w:asciiTheme="majorHAnsi" w:hAnsiTheme="majorHAnsi"/>
        </w:rPr>
        <w:fldChar w:fldCharType="begin"/>
      </w:r>
      <w:r w:rsidRPr="000F487F">
        <w:rPr>
          <w:rFonts w:asciiTheme="majorHAnsi" w:hAnsiTheme="majorHAnsi"/>
        </w:rPr>
        <w:instrText xml:space="preserve"> ADDIN ZOTERO_ITEM CSL_CITATION {"citationID":"RPZ7yxou","properties":{"formattedCitation":"(Antasari &amp; Hadi, 2017)","plainCitation":"(Antasari &amp; Hadi, 2017)","noteIndex":0},"citationItems":[{"id":83,"uris":["http://zotero.org/users/local/yobKiu6n/items/5LJIXHF7"],"itemData":{"id":83,"type":"article-journal","page":"132-161","publisher":"Jurnal Al-Maiyyah","title":"IMPLEMENTASI KEBIJAKAN PERENCANAAN DAN PENGANGGARAN YANG RESPONSIF GENDER DI PEMERINTAH KOTA PALEMBANG","volume":"10 (1)","author":[{"family":"Antasari","given":"Rina"},{"family":"Hadi","given":"Abdul"}],"issued":{"date-parts":[["2017"]]}}}],"schema":"https://github.com/citation-style-language/schema/raw/master/csl-citation.json"}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(Antasari &amp; Hadi, 2017)</w:t>
      </w:r>
      <w:r w:rsidRPr="000F487F">
        <w:rPr>
          <w:rFonts w:asciiTheme="majorHAnsi" w:hAnsiTheme="majorHAnsi"/>
        </w:rPr>
        <w:fldChar w:fldCharType="end"/>
      </w:r>
      <w:r w:rsidRPr="000F487F">
        <w:rPr>
          <w:rFonts w:asciiTheme="majorHAnsi" w:hAnsiTheme="majorHAnsi"/>
          <w:i/>
          <w:iCs/>
        </w:rPr>
        <w:t>.</w:t>
      </w:r>
      <w:r w:rsidRPr="000F487F">
        <w:rPr>
          <w:rFonts w:asciiTheme="majorHAnsi" w:hAnsiTheme="majorHAnsi"/>
        </w:rPr>
        <w:t xml:space="preserve"> As a result, </w:t>
      </w:r>
      <w:r w:rsidRPr="000F487F">
        <w:rPr>
          <w:rFonts w:asciiTheme="majorHAnsi" w:hAnsiTheme="majorHAnsi"/>
          <w:i/>
          <w:iCs/>
        </w:rPr>
        <w:t>gender machinery</w:t>
      </w:r>
      <w:r w:rsidRPr="000F487F">
        <w:rPr>
          <w:rFonts w:asciiTheme="majorHAnsi" w:hAnsiTheme="majorHAnsi"/>
        </w:rPr>
        <w:t xml:space="preserve"> in </w:t>
      </w:r>
      <w:proofErr w:type="spellStart"/>
      <w:r w:rsidRPr="000F487F">
        <w:rPr>
          <w:rFonts w:asciiTheme="majorHAnsi" w:hAnsiTheme="majorHAnsi"/>
        </w:rPr>
        <w:t>Sirenja</w:t>
      </w:r>
      <w:proofErr w:type="spellEnd"/>
      <w:r w:rsidRPr="000F487F">
        <w:rPr>
          <w:rFonts w:asciiTheme="majorHAnsi" w:hAnsiTheme="majorHAnsi"/>
        </w:rPr>
        <w:t xml:space="preserve"> District, only a paper tiger is in the form of a paper tiger that fails to function as a catalyst for change.</w:t>
      </w:r>
    </w:p>
    <w:p w14:paraId="44A6E872" w14:textId="67198417"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Mandate of </w:t>
      </w:r>
      <w:proofErr w:type="spellStart"/>
      <w:r w:rsidRPr="000F487F">
        <w:rPr>
          <w:rFonts w:asciiTheme="majorHAnsi" w:hAnsiTheme="majorHAnsi"/>
        </w:rPr>
        <w:t>Perbup</w:t>
      </w:r>
      <w:proofErr w:type="spellEnd"/>
      <w:r w:rsidRPr="000F487F">
        <w:rPr>
          <w:rFonts w:asciiTheme="majorHAnsi" w:hAnsiTheme="majorHAnsi"/>
        </w:rPr>
        <w:t xml:space="preserve"> 13/2024 which requires the use of disaggregated data as the basis for preparation </w:t>
      </w:r>
      <w:r w:rsidRPr="000F487F">
        <w:rPr>
          <w:rFonts w:asciiTheme="majorHAnsi" w:hAnsiTheme="majorHAnsi"/>
          <w:i/>
          <w:iCs/>
        </w:rPr>
        <w:t>Gender Analysis Pathway</w:t>
      </w:r>
      <w:r w:rsidRPr="000F487F">
        <w:rPr>
          <w:rFonts w:asciiTheme="majorHAnsi" w:hAnsiTheme="majorHAnsi"/>
        </w:rPr>
        <w:t xml:space="preserve"> (GAP) and </w:t>
      </w:r>
      <w:r w:rsidRPr="000F487F">
        <w:rPr>
          <w:rFonts w:asciiTheme="majorHAnsi" w:hAnsiTheme="majorHAnsi"/>
          <w:i/>
          <w:iCs/>
        </w:rPr>
        <w:t>Gender Budget Statement</w:t>
      </w:r>
      <w:r w:rsidRPr="000F487F">
        <w:rPr>
          <w:rFonts w:asciiTheme="majorHAnsi" w:hAnsiTheme="majorHAnsi"/>
        </w:rPr>
        <w:t xml:space="preserve"> (GBS) also clashes with empirical reality. Although </w:t>
      </w:r>
      <w:proofErr w:type="spellStart"/>
      <w:r w:rsidRPr="000F487F">
        <w:rPr>
          <w:rFonts w:asciiTheme="majorHAnsi" w:hAnsiTheme="majorHAnsi"/>
        </w:rPr>
        <w:t>Donggala</w:t>
      </w:r>
      <w:proofErr w:type="spellEnd"/>
      <w:r w:rsidRPr="000F487F">
        <w:rPr>
          <w:rFonts w:asciiTheme="majorHAnsi" w:hAnsiTheme="majorHAnsi"/>
        </w:rPr>
        <w:t xml:space="preserve"> Regency already has a "Gender and Child Profile for 2022," field findings show that the document is static</w:t>
      </w:r>
      <w:r w:rsidR="00D67DE3">
        <w:rPr>
          <w:rFonts w:asciiTheme="majorHAnsi" w:hAnsiTheme="majorHAnsi"/>
        </w:rPr>
        <w:t xml:space="preserve"> </w:t>
      </w:r>
      <w:r w:rsidRPr="000F487F">
        <w:rPr>
          <w:rFonts w:asciiTheme="majorHAnsi" w:hAnsiTheme="majorHAnsi"/>
        </w:rPr>
        <w:t xml:space="preserve">not institutionalized and not systematically utilized in program formulation at the sub-district level. This condition of absence of documented GAP and GBS is fatal to the planning cycle. Analysis </w:t>
      </w:r>
      <w:r w:rsidRPr="000F487F">
        <w:rPr>
          <w:rFonts w:asciiTheme="majorHAnsi" w:hAnsiTheme="majorHAnsi"/>
        </w:rPr>
        <w:fldChar w:fldCharType="begin"/>
      </w:r>
      <w:r w:rsidRPr="000F487F">
        <w:rPr>
          <w:rFonts w:asciiTheme="majorHAnsi" w:hAnsiTheme="majorHAnsi"/>
        </w:rPr>
        <w:instrText xml:space="preserve"> ADDIN ZOTERO_ITEM CSL_CITATION {"citationID":"KOPsH4Ku","properties":{"formattedCitation":"(Moser, 1993)","plainCitation":"(Moser, 1993)","dontUpdate":true,"noteIndex":0},"citationItems":[{"id":82,"uris":["http://zotero.org/users/local/yobKiu6n/items/7G94GZBT"],"itemData":{"id":82,"type":"article-journal","DOI":"http://dx.doi.org/10.4324/9780203411940","publisher":"Routledge","publisher-place":"London","title":"Gender Planning and Development: Theory, Practice, and Training","author":[{"family":"Moser","given":"C.O.N"}],"issued":{"date-parts":[["1993"]]}}}],"schema":"https://github.com/citation-style-language/schema/raw/master/csl-citation.json"}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Moser (1993)</w:t>
      </w:r>
      <w:r w:rsidRPr="000F487F">
        <w:rPr>
          <w:rFonts w:asciiTheme="majorHAnsi" w:hAnsiTheme="majorHAnsi"/>
        </w:rPr>
        <w:fldChar w:fldCharType="end"/>
      </w:r>
      <w:r w:rsidRPr="000F487F">
        <w:rPr>
          <w:rFonts w:asciiTheme="majorHAnsi" w:hAnsiTheme="majorHAnsi"/>
        </w:rPr>
        <w:t xml:space="preserve"> fundamentally affirms that gender-responsive planning will collapse if it is not based on precise mapping of practical and strategic needs. Failure to utilize disaggregated data in </w:t>
      </w:r>
      <w:proofErr w:type="spellStart"/>
      <w:r w:rsidRPr="000F487F">
        <w:rPr>
          <w:rFonts w:asciiTheme="majorHAnsi" w:hAnsiTheme="majorHAnsi"/>
        </w:rPr>
        <w:t>Donggala</w:t>
      </w:r>
      <w:proofErr w:type="spellEnd"/>
      <w:r w:rsidRPr="000F487F">
        <w:rPr>
          <w:rFonts w:asciiTheme="majorHAnsi" w:hAnsiTheme="majorHAnsi"/>
        </w:rPr>
        <w:t xml:space="preserve"> in line with findings </w:t>
      </w:r>
      <w:r w:rsidRPr="000F487F">
        <w:rPr>
          <w:rFonts w:asciiTheme="majorHAnsi" w:hAnsiTheme="majorHAnsi"/>
        </w:rPr>
        <w:fldChar w:fldCharType="begin"/>
      </w:r>
      <w:r w:rsidRPr="000F487F">
        <w:rPr>
          <w:rFonts w:asciiTheme="majorHAnsi" w:hAnsiTheme="majorHAnsi"/>
        </w:rPr>
        <w:instrText xml:space="preserve"> ADDIN ZOTERO_ITEM CSL_CITATION {"citationID":"rsTVPRoO","properties":{"formattedCitation":"(Sugiyono, 2023)","plainCitation":"(Sugiyono, 2023)","dontUpdate":true,"noteIndex":0},"citationItems":[{"id":78,"uris":["http://zotero.org/users/local/yobKiu6n/items/F3Y7ZVWL"],"itemData":{"id":78,"type":"article-journal","ISSN":"2721-2440","page":"143-156","publisher":"Jurnal Widyaiswara Indonesia","title":"Analisis Perencanaan dan Penganggaran Responsif Gender (Studi Kasus Dinas Koperasi, UKM Provinsi Kalimantan Selatan)","volume":"4(4)","author":[{"family":"Sugiyono","given":""}],"issued":{"date-parts":[["2023"]]}}}],"schema":"https://github.com/citation-style-language/schema/raw/master/csl-citation.json"}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Sugiyono (2023)</w:t>
      </w:r>
      <w:r w:rsidRPr="000F487F">
        <w:rPr>
          <w:rFonts w:asciiTheme="majorHAnsi" w:hAnsiTheme="majorHAnsi"/>
        </w:rPr>
        <w:fldChar w:fldCharType="end"/>
      </w:r>
      <w:r w:rsidRPr="000F487F">
        <w:rPr>
          <w:rFonts w:asciiTheme="majorHAnsi" w:hAnsiTheme="majorHAnsi"/>
          <w:i/>
          <w:iCs/>
        </w:rPr>
        <w:t>,</w:t>
      </w:r>
      <w:r w:rsidRPr="000F487F">
        <w:rPr>
          <w:rFonts w:asciiTheme="majorHAnsi" w:hAnsiTheme="majorHAnsi"/>
        </w:rPr>
        <w:t xml:space="preserve"> which highlights that lower-level bureaucracies often experience "data stuttering" (</w:t>
      </w:r>
      <w:r w:rsidRPr="000F487F">
        <w:rPr>
          <w:rFonts w:asciiTheme="majorHAnsi" w:hAnsiTheme="majorHAnsi"/>
          <w:i/>
          <w:iCs/>
        </w:rPr>
        <w:t>data illiteracy</w:t>
      </w:r>
      <w:r w:rsidRPr="000F487F">
        <w:rPr>
          <w:rFonts w:asciiTheme="majorHAnsi" w:hAnsiTheme="majorHAnsi"/>
        </w:rPr>
        <w:t xml:space="preserve">), so that critical analytical instruments such as GAP and GBS are reduced to mere attachments </w:t>
      </w:r>
      <w:r w:rsidRPr="000F487F">
        <w:rPr>
          <w:rFonts w:asciiTheme="majorHAnsi" w:hAnsiTheme="majorHAnsi"/>
          <w:i/>
          <w:iCs/>
        </w:rPr>
        <w:t>copy-paste</w:t>
      </w:r>
      <w:r w:rsidRPr="000F487F">
        <w:rPr>
          <w:rFonts w:asciiTheme="majorHAnsi" w:hAnsiTheme="majorHAnsi"/>
        </w:rPr>
        <w:t xml:space="preserve"> that is empty of context. Without an adequate basis for analysis, the decision to allocate development resources in </w:t>
      </w:r>
      <w:proofErr w:type="spellStart"/>
      <w:r w:rsidRPr="000F487F">
        <w:rPr>
          <w:rFonts w:asciiTheme="majorHAnsi" w:hAnsiTheme="majorHAnsi"/>
        </w:rPr>
        <w:t>Sirenja</w:t>
      </w:r>
      <w:proofErr w:type="spellEnd"/>
      <w:r w:rsidRPr="000F487F">
        <w:rPr>
          <w:rFonts w:asciiTheme="majorHAnsi" w:hAnsiTheme="majorHAnsi"/>
        </w:rPr>
        <w:t xml:space="preserve"> District became </w:t>
      </w:r>
      <w:r w:rsidRPr="000F487F">
        <w:rPr>
          <w:rFonts w:asciiTheme="majorHAnsi" w:hAnsiTheme="majorHAnsi"/>
          <w:i/>
          <w:iCs/>
        </w:rPr>
        <w:t>gender-blind</w:t>
      </w:r>
      <w:r w:rsidRPr="000F487F">
        <w:rPr>
          <w:rFonts w:asciiTheme="majorHAnsi" w:hAnsiTheme="majorHAnsi"/>
        </w:rPr>
        <w:t xml:space="preserve"> (gender blindness) and has the potential to perpetuate structural inequality, especially in the midst of the vulnerability of coastal areas.</w:t>
      </w:r>
    </w:p>
    <w:p w14:paraId="1074308E" w14:textId="69311431"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From the dimension of the implementation of the work mechanism, the crisis that occurred in </w:t>
      </w:r>
      <w:proofErr w:type="spellStart"/>
      <w:r w:rsidRPr="000F487F">
        <w:rPr>
          <w:rFonts w:asciiTheme="majorHAnsi" w:hAnsiTheme="majorHAnsi"/>
        </w:rPr>
        <w:t>Donggala</w:t>
      </w:r>
      <w:proofErr w:type="spellEnd"/>
      <w:r w:rsidRPr="000F487F">
        <w:rPr>
          <w:rFonts w:asciiTheme="majorHAnsi" w:hAnsiTheme="majorHAnsi"/>
        </w:rPr>
        <w:t xml:space="preserve"> is rooted in bureaucratic pathology in the form of a silo mentality (</w:t>
      </w:r>
      <w:r w:rsidRPr="000F487F">
        <w:rPr>
          <w:rFonts w:asciiTheme="majorHAnsi" w:hAnsiTheme="majorHAnsi"/>
          <w:i/>
          <w:iCs/>
        </w:rPr>
        <w:t>silo mentality</w:t>
      </w:r>
      <w:r w:rsidRPr="000F487F">
        <w:rPr>
          <w:rFonts w:asciiTheme="majorHAnsi" w:hAnsiTheme="majorHAnsi"/>
        </w:rPr>
        <w:t xml:space="preserve">). The statement of the resource person from the OPD who felt that gender issues were "not part of the main task" and the ignorance of the sub-district apparatus about "what to do," reflected the destruction of cross-sector coordination. Refers to the theoretical foundations </w:t>
      </w:r>
      <w:r w:rsidRPr="000F487F">
        <w:rPr>
          <w:rFonts w:asciiTheme="majorHAnsi" w:hAnsiTheme="majorHAnsi"/>
          <w:i/>
          <w:iCs/>
        </w:rPr>
        <w:t>governance</w:t>
      </w:r>
      <w:r w:rsidRPr="000F487F">
        <w:rPr>
          <w:rFonts w:asciiTheme="majorHAnsi" w:hAnsiTheme="majorHAnsi"/>
        </w:rPr>
        <w:t xml:space="preserve"> from </w:t>
      </w:r>
      <w:r w:rsidRPr="000F487F">
        <w:rPr>
          <w:rFonts w:asciiTheme="majorHAnsi" w:hAnsiTheme="majorHAnsi"/>
        </w:rPr>
        <w:fldChar w:fldCharType="begin"/>
      </w:r>
      <w:r w:rsidRPr="000F487F">
        <w:rPr>
          <w:rFonts w:asciiTheme="majorHAnsi" w:hAnsiTheme="majorHAnsi"/>
        </w:rPr>
        <w:instrText xml:space="preserve"> ADDIN ZOTERO_ITEM CSL_CITATION {"citationID":"JPBEI59e","properties":{"formattedCitation":"(Pierre &amp; Peters, 2000)","plainCitation":"(Pierre &amp; Peters, 2000)","dontUpdate":true,"noteIndex":0},"citationItems":[{"id":88,"uris":["http://zotero.org/users/local/yobKiu6n/items/M9ZV5SIU"],"itemData":{"id":88,"type":"book","publisher":"Macmillan Press","title":"Governance, politics and the state","author":[{"family":"Pierre","given":"J"},{"family":"Peters","given":"B.G"}],"issued":{"date-parts":[["2000"]]}}}],"schema":"https://github.com/citation-style-language/schema/raw/master/csl-citation.json"}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Pierre &amp; Peters (2000)</w:t>
      </w:r>
      <w:r w:rsidRPr="000F487F">
        <w:rPr>
          <w:rFonts w:asciiTheme="majorHAnsi" w:hAnsiTheme="majorHAnsi"/>
        </w:rPr>
        <w:fldChar w:fldCharType="end"/>
      </w:r>
      <w:r w:rsidRPr="000F487F">
        <w:rPr>
          <w:rFonts w:asciiTheme="majorHAnsi" w:hAnsiTheme="majorHAnsi"/>
        </w:rPr>
        <w:t xml:space="preserve">, policy effectiveness requires a fluid and collaborative institutional network. However, contemporary decentralized literature </w:t>
      </w:r>
      <w:r w:rsidRPr="000F487F">
        <w:rPr>
          <w:rFonts w:asciiTheme="majorHAnsi" w:hAnsiTheme="majorHAnsi"/>
        </w:rPr>
        <w:fldChar w:fldCharType="begin"/>
      </w:r>
      <w:r w:rsidRPr="000F487F">
        <w:rPr>
          <w:rFonts w:asciiTheme="majorHAnsi" w:hAnsiTheme="majorHAnsi"/>
        </w:rPr>
        <w:instrText xml:space="preserve"> ADDIN ZOTERO_ITEM CSL_CITATION {"citationID":"O65cQcvQ","properties":{"formattedCitation":"(Girsang dkk., 2025)","plainCitation":"(Girsang dkk., 2025)","noteIndex":0},"citationItems":[{"id":89,"uris":["http://zotero.org/users/local/yobKiu6n/items/SNG2HFF7"],"itemData":{"id":89,"type":"article-journal","container-title":"Moderat : Jurnal Ilmiah Ilmu Pemerintahan","ISSN":"2622-691X","page":"79-84","title":"IMPLEMENTASI KEBIJAKAN PENGARUSUTAMAAN GENDER DI KOTA BANJAR","author":[{"family":"Girsang","given":"Nova Chalimah"},{"family":"Purnama","given":"Riza"},{"family":"Hidayat","given":"Eet Saeful"}],"issued":{"date-parts":[["2025"]]}}}],"schema":"https://github.com/citation-style-language/schema/raw/master/csl-citation.json"}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Girsang et al., (2025)</w:t>
      </w:r>
      <w:r w:rsidRPr="000F487F">
        <w:rPr>
          <w:rFonts w:asciiTheme="majorHAnsi" w:hAnsiTheme="majorHAnsi"/>
        </w:rPr>
        <w:fldChar w:fldCharType="end"/>
      </w:r>
      <w:r w:rsidRPr="000F487F">
        <w:rPr>
          <w:rFonts w:asciiTheme="majorHAnsi" w:hAnsiTheme="majorHAnsi"/>
        </w:rPr>
        <w:t xml:space="preserve"> found that regulation on paper is often defeated by rigid bureaucratic cultures, ego-</w:t>
      </w:r>
      <w:proofErr w:type="spellStart"/>
      <w:r w:rsidRPr="000F487F">
        <w:rPr>
          <w:rFonts w:asciiTheme="majorHAnsi" w:hAnsiTheme="majorHAnsi"/>
        </w:rPr>
        <w:t>sectoralism</w:t>
      </w:r>
      <w:proofErr w:type="spellEnd"/>
      <w:r w:rsidRPr="000F487F">
        <w:rPr>
          <w:rFonts w:asciiTheme="majorHAnsi" w:hAnsiTheme="majorHAnsi"/>
        </w:rPr>
        <w:t>, and a lack of transformative leadership (</w:t>
      </w:r>
      <w:r w:rsidRPr="000F487F">
        <w:rPr>
          <w:rFonts w:asciiTheme="majorHAnsi" w:hAnsiTheme="majorHAnsi"/>
          <w:i/>
          <w:iCs/>
        </w:rPr>
        <w:t>political will</w:t>
      </w:r>
      <w:r w:rsidRPr="000F487F">
        <w:rPr>
          <w:rFonts w:asciiTheme="majorHAnsi" w:hAnsiTheme="majorHAnsi"/>
        </w:rPr>
        <w:t xml:space="preserve">) at the local executive level. This failure of coordination </w:t>
      </w:r>
      <w:r w:rsidRPr="000F487F">
        <w:rPr>
          <w:rFonts w:asciiTheme="majorHAnsi" w:hAnsiTheme="majorHAnsi"/>
        </w:rPr>
        <w:lastRenderedPageBreak/>
        <w:t xml:space="preserve">culminated in a crisis of fiscal commitment. The reluctance to integrate the gender agenda into budget priorities, under the pretext of "fiscal limitations" or "not in the nomenclature of PMK (Regulation of the Minister of Finance)," is a form of latent resistance. The reduction of material/budgetary resources by the state makes the gender agenda marginalized </w:t>
      </w:r>
      <w:r w:rsidRPr="000F487F">
        <w:rPr>
          <w:rFonts w:asciiTheme="majorHAnsi" w:hAnsiTheme="majorHAnsi"/>
        </w:rPr>
        <w:fldChar w:fldCharType="begin"/>
      </w:r>
      <w:r w:rsidRPr="000F487F">
        <w:rPr>
          <w:rFonts w:asciiTheme="majorHAnsi" w:hAnsiTheme="majorHAnsi"/>
        </w:rPr>
        <w:instrText xml:space="preserve"> ADDIN ZOTERO_ITEM CSL_CITATION {"citationID":"0UWD1MjK","properties":{"formattedCitation":"(Kantola &amp; Squires, 2012)","plainCitation":"(Kantola &amp; Squires, 2012)","noteIndex":0},"citationItems":[{"id":109,"uris":["http://zotero.org/users/local/yobKiu6n/items/69MZ5VCK"],"itemData":{"id":109,"type":"article-journal","DOI":"https://doi.org/10.1177/0192512111432513","page":"382-400","publisher":"International Political Science Review","title":"From state feminism to market feminism?","volume":"33(4)","author":[{"family":"Kantola","given":"J"},{"family":"Squires","given":"J"}],"issued":{"date-parts":[["2012"]]}}}],"schema":"https://github.com/citation-style-language/schema/raw/master/csl-citation.json"}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(Kantola &amp; Squires, 2012)</w:t>
      </w:r>
      <w:r w:rsidRPr="000F487F">
        <w:rPr>
          <w:rFonts w:asciiTheme="majorHAnsi" w:hAnsiTheme="majorHAnsi"/>
        </w:rPr>
        <w:fldChar w:fldCharType="end"/>
      </w:r>
      <w:r w:rsidRPr="000F487F">
        <w:rPr>
          <w:rFonts w:asciiTheme="majorHAnsi" w:hAnsiTheme="majorHAnsi"/>
        </w:rPr>
        <w:t xml:space="preserve">. These findings are supported by empirical studies </w:t>
      </w:r>
      <w:r w:rsidRPr="000F487F">
        <w:rPr>
          <w:rFonts w:asciiTheme="majorHAnsi" w:hAnsiTheme="majorHAnsi"/>
        </w:rPr>
        <w:fldChar w:fldCharType="begin"/>
      </w:r>
      <w:r w:rsidRPr="000F487F">
        <w:rPr>
          <w:rFonts w:asciiTheme="majorHAnsi" w:hAnsiTheme="majorHAnsi"/>
        </w:rPr>
        <w:instrText xml:space="preserve"> ADDIN ZOTERO_ITEM CSL_CITATION {"citationID":"s8vWv6Qs","properties":{"formattedCitation":"(Hadi, 2024)","plainCitation":"(Hadi, 2024)","dontUpdate":true,"noteIndex":0},"citationItems":[{"id":87,"uris":["http://zotero.org/users/local/yobKiu6n/items/FMGTIEH7"],"itemData":{"id":87,"type":"article-journal","DOI":"10.30589/proceedings.2024.1049","page":"157-169","publisher":"Iapa Proceedings Conference","title":"Implementasi dan Tantangan Anggaran Responsif Gender: Studi Literature.","author":[{"family":"Hadi","given":"H"}],"issued":{"date-parts":[["2024"]]}}}],"schema":"https://github.com/citation-style-language/schema/raw/master/csl-citation.json"}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Hadi (2024)</w:t>
      </w:r>
      <w:r w:rsidRPr="000F487F">
        <w:rPr>
          <w:rFonts w:asciiTheme="majorHAnsi" w:hAnsiTheme="majorHAnsi"/>
        </w:rPr>
        <w:fldChar w:fldCharType="end"/>
      </w:r>
      <w:r w:rsidRPr="000F487F">
        <w:rPr>
          <w:rFonts w:asciiTheme="majorHAnsi" w:hAnsiTheme="majorHAnsi"/>
        </w:rPr>
        <w:t xml:space="preserve"> which concludes that gender mainstreaming at the sub-national level often experiences "budget evaporation", where gender issues are allowed to become an autonomously moving discourse without a definitive fiscal injection in the Regional Revenue and Expenditure Budget (APBD).</w:t>
      </w:r>
    </w:p>
    <w:p w14:paraId="7E527840" w14:textId="58ED6176"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Overall, this study found that the implementation of PPRG in </w:t>
      </w:r>
      <w:proofErr w:type="spellStart"/>
      <w:r w:rsidRPr="000F487F">
        <w:rPr>
          <w:rFonts w:asciiTheme="majorHAnsi" w:hAnsiTheme="majorHAnsi"/>
        </w:rPr>
        <w:t>Sirenja</w:t>
      </w:r>
      <w:proofErr w:type="spellEnd"/>
      <w:r w:rsidRPr="000F487F">
        <w:rPr>
          <w:rFonts w:asciiTheme="majorHAnsi" w:hAnsiTheme="majorHAnsi"/>
        </w:rPr>
        <w:t xml:space="preserve"> District does not only face technical-administrative obstacles, but also massive cultural and structural obstacles. Ad-hoc training and socialization without </w:t>
      </w:r>
      <w:r w:rsidRPr="000F487F">
        <w:rPr>
          <w:rFonts w:asciiTheme="majorHAnsi" w:hAnsiTheme="majorHAnsi"/>
          <w:i/>
          <w:iCs/>
        </w:rPr>
        <w:t>follow-up</w:t>
      </w:r>
      <w:r w:rsidRPr="000F487F">
        <w:rPr>
          <w:rFonts w:asciiTheme="majorHAnsi" w:hAnsiTheme="majorHAnsi"/>
        </w:rPr>
        <w:t xml:space="preserve">, as well as the absence </w:t>
      </w:r>
      <w:proofErr w:type="gramStart"/>
      <w:r w:rsidRPr="000F487F">
        <w:rPr>
          <w:rFonts w:asciiTheme="majorHAnsi" w:hAnsiTheme="majorHAnsi"/>
        </w:rPr>
        <w:t>of  a</w:t>
      </w:r>
      <w:proofErr w:type="gramEnd"/>
      <w:r w:rsidRPr="000F487F">
        <w:rPr>
          <w:rFonts w:asciiTheme="majorHAnsi" w:hAnsiTheme="majorHAnsi"/>
        </w:rPr>
        <w:t xml:space="preserve"> continuous monitoring and evaluation cycle (</w:t>
      </w:r>
      <w:proofErr w:type="spellStart"/>
      <w:r w:rsidRPr="000F487F">
        <w:rPr>
          <w:rFonts w:asciiTheme="majorHAnsi" w:hAnsiTheme="majorHAnsi"/>
        </w:rPr>
        <w:t>monev</w:t>
      </w:r>
      <w:proofErr w:type="spellEnd"/>
      <w:r w:rsidRPr="000F487F">
        <w:rPr>
          <w:rFonts w:asciiTheme="majorHAnsi" w:hAnsiTheme="majorHAnsi"/>
        </w:rPr>
        <w:t xml:space="preserve">), prove that the PUG program is run without a sustainability framework. The implementation in </w:t>
      </w:r>
      <w:proofErr w:type="spellStart"/>
      <w:r w:rsidRPr="000F487F">
        <w:rPr>
          <w:rFonts w:asciiTheme="majorHAnsi" w:hAnsiTheme="majorHAnsi"/>
        </w:rPr>
        <w:t>Donggala</w:t>
      </w:r>
      <w:proofErr w:type="spellEnd"/>
      <w:r w:rsidRPr="000F487F">
        <w:rPr>
          <w:rFonts w:asciiTheme="majorHAnsi" w:hAnsiTheme="majorHAnsi"/>
        </w:rPr>
        <w:t xml:space="preserve"> Regency confirms that the availability of a local legal umbrella (</w:t>
      </w:r>
      <w:proofErr w:type="spellStart"/>
      <w:r w:rsidRPr="000F487F">
        <w:rPr>
          <w:rFonts w:asciiTheme="majorHAnsi" w:hAnsiTheme="majorHAnsi"/>
        </w:rPr>
        <w:t>Perbup</w:t>
      </w:r>
      <w:proofErr w:type="spellEnd"/>
      <w:r w:rsidRPr="000F487F">
        <w:rPr>
          <w:rFonts w:asciiTheme="majorHAnsi" w:hAnsiTheme="majorHAnsi"/>
        </w:rPr>
        <w:t xml:space="preserve"> 13/2024) is not enough to break the bureaucratic inertia. It takes more than just a regulatory mandate; The transformation of PPRG requires a reconstruction of apparatus understanding, an ego-sectoral overhaul, and bold regional leadership intervention to force the integration of GAP and GBS into regional digital budgeting platforms.</w:t>
      </w:r>
    </w:p>
    <w:p w14:paraId="0555CAD9" w14:textId="51F59875" w:rsidR="000F487F" w:rsidRDefault="00D67DE3" w:rsidP="000F487F">
      <w:pPr>
        <w:pStyle w:val="NormalWeb"/>
        <w:jc w:val="both"/>
        <w:rPr>
          <w:rFonts w:asciiTheme="majorHAnsi" w:hAnsiTheme="majorHAnsi"/>
          <w:b/>
          <w:bCs/>
        </w:rPr>
      </w:pPr>
      <w:r>
        <w:rPr>
          <w:rFonts w:asciiTheme="majorHAnsi" w:hAnsiTheme="majorHAnsi"/>
          <w:b/>
          <w:bCs/>
        </w:rPr>
        <w:t>3</w:t>
      </w:r>
      <w:r w:rsidR="000F487F" w:rsidRPr="000F487F">
        <w:rPr>
          <w:rFonts w:asciiTheme="majorHAnsi" w:hAnsiTheme="majorHAnsi"/>
          <w:b/>
          <w:bCs/>
        </w:rPr>
        <w:t>.3 Ceremonial Transmission and Policy Learning Failures in PUG Implementation</w:t>
      </w:r>
    </w:p>
    <w:p w14:paraId="0BFF3DEC"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The communication pattern of gender mainstreaming policies in </w:t>
      </w:r>
      <w:proofErr w:type="spellStart"/>
      <w:r w:rsidRPr="000F487F">
        <w:rPr>
          <w:rFonts w:asciiTheme="majorHAnsi" w:hAnsiTheme="majorHAnsi"/>
        </w:rPr>
        <w:t>Sirenja</w:t>
      </w:r>
      <w:proofErr w:type="spellEnd"/>
      <w:r w:rsidRPr="000F487F">
        <w:rPr>
          <w:rFonts w:asciiTheme="majorHAnsi" w:hAnsiTheme="majorHAnsi"/>
        </w:rPr>
        <w:t xml:space="preserve"> District represents a classic pathology in the local bureaucracy, namely the dominance of a one-way and ceremonial administrative approach. The socialization of Gender Responsive Development Planning (PPRG) regulations is generally reduced to episodic coordination meetings and formal training (</w:t>
      </w:r>
      <w:r w:rsidRPr="000F487F">
        <w:rPr>
          <w:rFonts w:asciiTheme="majorHAnsi" w:hAnsiTheme="majorHAnsi"/>
          <w:i/>
          <w:iCs/>
        </w:rPr>
        <w:t>one-off events</w:t>
      </w:r>
      <w:r w:rsidRPr="000F487F">
        <w:rPr>
          <w:rFonts w:asciiTheme="majorHAnsi" w:hAnsiTheme="majorHAnsi"/>
        </w:rPr>
        <w:t xml:space="preserve">), without being followed by a process of conceptual deepening or persistent technical assistance (preparation clinic). As a result, policy implementation actors—including </w:t>
      </w:r>
      <w:r w:rsidRPr="000F487F">
        <w:rPr>
          <w:rFonts w:asciiTheme="majorHAnsi" w:hAnsiTheme="majorHAnsi"/>
          <w:i/>
          <w:iCs/>
        </w:rPr>
        <w:t>PUG Focal Points</w:t>
      </w:r>
      <w:r w:rsidRPr="000F487F">
        <w:rPr>
          <w:rFonts w:asciiTheme="majorHAnsi" w:hAnsiTheme="majorHAnsi"/>
        </w:rPr>
        <w:t xml:space="preserve"> at the sub-district level and village apparatus—experience information asymmetry and do not have a substantive understanding of the essence of PPRG. This inability is most evident in the stuttering of the apparatus in utilizing critical analysis instruments such as </w:t>
      </w:r>
      <w:r w:rsidRPr="000F487F">
        <w:rPr>
          <w:rFonts w:asciiTheme="majorHAnsi" w:hAnsiTheme="majorHAnsi"/>
          <w:i/>
          <w:iCs/>
        </w:rPr>
        <w:t>the Gender Analysis Pathway</w:t>
      </w:r>
      <w:r w:rsidRPr="000F487F">
        <w:rPr>
          <w:rFonts w:asciiTheme="majorHAnsi" w:hAnsiTheme="majorHAnsi"/>
        </w:rPr>
        <w:t xml:space="preserve"> (GAP) and </w:t>
      </w:r>
      <w:r w:rsidRPr="000F487F">
        <w:rPr>
          <w:rFonts w:asciiTheme="majorHAnsi" w:hAnsiTheme="majorHAnsi"/>
          <w:i/>
          <w:iCs/>
        </w:rPr>
        <w:t>the Gender Budget Statement</w:t>
      </w:r>
      <w:r w:rsidRPr="000F487F">
        <w:rPr>
          <w:rFonts w:asciiTheme="majorHAnsi" w:hAnsiTheme="majorHAnsi"/>
        </w:rPr>
        <w:t xml:space="preserve"> (GBS). This empirical condition proves that the existence of regulations (</w:t>
      </w:r>
      <w:proofErr w:type="spellStart"/>
      <w:r w:rsidRPr="000F487F">
        <w:rPr>
          <w:rFonts w:asciiTheme="majorHAnsi" w:hAnsiTheme="majorHAnsi"/>
        </w:rPr>
        <w:t>Perbup</w:t>
      </w:r>
      <w:proofErr w:type="spellEnd"/>
      <w:r w:rsidRPr="000F487F">
        <w:rPr>
          <w:rFonts w:asciiTheme="majorHAnsi" w:hAnsiTheme="majorHAnsi"/>
        </w:rPr>
        <w:t>) and the quantity of socialization forums are not directly proportional to the increase in the implementing capacity of the apparatus at the grassroots.</w:t>
      </w:r>
    </w:p>
    <w:p w14:paraId="59F7412D" w14:textId="1B222A96"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This finding fundamentally strengthens the postulate </w:t>
      </w:r>
      <w:r w:rsidRPr="000F487F">
        <w:rPr>
          <w:rFonts w:asciiTheme="majorHAnsi" w:hAnsiTheme="majorHAnsi"/>
        </w:rPr>
        <w:fldChar w:fldCharType="begin"/>
      </w:r>
      <w:r w:rsidRPr="000F487F">
        <w:rPr>
          <w:rFonts w:asciiTheme="majorHAnsi" w:hAnsiTheme="majorHAnsi"/>
        </w:rPr>
        <w:instrText xml:space="preserve"> ADDIN ZOTERO_ITEM CSL_CITATION {"citationID":"3jfxWzAi","properties":{"formattedCitation":"(Edwards, 1980)","plainCitation":"(Edwards, 1980)","dontUpdate":true,"noteIndex":0},"citationItems":[{"id":62,"uris":["http://zotero.org/users/local/yobKiu6n/items/NZH69PYP"],"itemData":{"id":62,"type":"book","collection-title":"Politics and public policy series","ISBN":"978-0-87187-155-8","note":"LCCN: 80023705","publisher":"Congressional Quarterly Press","title":"Implementing Public Policy","URL":"https://books.google.co.id/books?id=hAq8AAAAIAAJ","author":[{"family":"Edwards","given":"G.C."}],"issued":{"date-parts":[["1980"]]}}}],"schema":"https://github.com/citation-style-language/schema/raw/master/csl-citation.json"}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Edwards (1980)</w:t>
      </w:r>
      <w:r w:rsidRPr="000F487F">
        <w:rPr>
          <w:rFonts w:asciiTheme="majorHAnsi" w:hAnsiTheme="majorHAnsi"/>
        </w:rPr>
        <w:fldChar w:fldCharType="end"/>
      </w:r>
      <w:r w:rsidRPr="000F487F">
        <w:rPr>
          <w:rFonts w:asciiTheme="majorHAnsi" w:hAnsiTheme="majorHAnsi"/>
        </w:rPr>
        <w:t xml:space="preserve"> </w:t>
      </w:r>
      <w:r w:rsidRPr="000F487F">
        <w:rPr>
          <w:rFonts w:asciiTheme="majorHAnsi" w:hAnsiTheme="majorHAnsi"/>
          <w:i/>
          <w:iCs/>
        </w:rPr>
        <w:t>Edward III (1980)</w:t>
      </w:r>
      <w:r w:rsidRPr="000F487F">
        <w:rPr>
          <w:rFonts w:asciiTheme="majorHAnsi" w:hAnsiTheme="majorHAnsi"/>
        </w:rPr>
        <w:t xml:space="preserve"> which confirms that the effectiveness of implementation does not depend only on the mere transmission of information, but on clarity and consistency of policy messages. In the context of </w:t>
      </w:r>
      <w:proofErr w:type="spellStart"/>
      <w:r w:rsidRPr="000F487F">
        <w:rPr>
          <w:rFonts w:asciiTheme="majorHAnsi" w:hAnsiTheme="majorHAnsi"/>
        </w:rPr>
        <w:t>Sirenja</w:t>
      </w:r>
      <w:proofErr w:type="spellEnd"/>
      <w:r w:rsidRPr="000F487F">
        <w:rPr>
          <w:rFonts w:asciiTheme="majorHAnsi" w:hAnsiTheme="majorHAnsi"/>
        </w:rPr>
        <w:t xml:space="preserve">, the transmission of gender policy has indeed been formally distributed, but it has suffered from a "technocratic bias." The highly academic and elitist policy language of the GAP and GBS instruments fails to translate into a grounded operational language for the sub-district and village level apparatus </w:t>
      </w:r>
      <w:r w:rsidRPr="000F487F">
        <w:rPr>
          <w:rFonts w:asciiTheme="majorHAnsi" w:hAnsiTheme="majorHAnsi"/>
        </w:rPr>
        <w:fldChar w:fldCharType="begin"/>
      </w:r>
      <w:r w:rsidRPr="000F487F">
        <w:rPr>
          <w:rFonts w:asciiTheme="majorHAnsi" w:hAnsiTheme="majorHAnsi"/>
        </w:rPr>
        <w:instrText xml:space="preserve"> ADDIN ZOTERO_ITEM CSL_CITATION {"citationID":"Gy4OOXyv","properties":{"formattedCitation":"(Kertati, 2025)","plainCitation":"(Kertati, 2025)","noteIndex":0},"citationItems":[{"id":110,"uris":["http://zotero.org/users/local/yobKiu6n/items/9LZUZIMD"],"itemData":{"id":110,"type":"article-journal","abstract":"Pendampingan penyusunan Gender Analysis Pathway (GAP) dan Gender Budget Statement (GBS) merupakan langkah strategis untuk mendukung pengarusutamaan gender dalam pembangunan daerah. Meskipun GAP dan GBS telah diamanatkan oleh kebijakan nasional, pelaksanaannya di tingkat perangkat daerah masih menghadapi berbagai kendala. Rendahnya pemahaman teknis, resistensi terhadap isu gender, serta keterbatasan sumber daya menjadi hambatan utama dalam penyusunan dokumen berbasis gender yang berkualitas. Oleh karena itu, pendekatan partisipatif dan pendampingan digunakan untuk meningkatkan kapasitas perangkat daerah sekaligus mendorong perubahan paradigma tentang pentingnya keadilan gender dalam pembangunan. Melalui pelatihan berbasis partisipatif yang mengintegrasikan teori dan praktik, peserta tidak hanya belajar secara teknis, tetapi juga terlibat aktif dalam simulasi, diskusi, dan refleksi kelompok. Pendampingan lapangan dengan metode learning by doing mempercepat proses pembelajaran dan meningkatkan kualitas dokumen yang disusun. Hasilnya, peserta menunjukkan peningkatan signifikan dalam pemahaman dan keterampilan teknis, serta perubahan sikap terhadap isu gender. Namun, tantangan seperti resistensi awal, perbedaan tingkat pemahaman, dan keterbatasan data terpilah gender tetap memerlukan perhatian lebih lanjut. Sebagai rekomendasi, penting untuk mengembangkan mekanisme follow-up melalui monitoring dan evaluasi berkelanjutan, melibatkan pimpinan daerah untuk memperkuat komitmen kelembagaan, serta membangun kolaborasi lintas sektor. Dengan langkah-langkah ini, diharapkan GAP dan GBS dapat diintegrasikan secara efektif dalam siklus perencanaan pembangunan, sehingga mendukung pencapaian pembangunan yang inklusif dan berkelanjutan.","container-title":"Martabe : Jurnal Pengabdian Kepada Masyarakat","issue":"Vol 8, No 2 (2025): MARTABE : JURNAL PENGABDIAN KEPADA MASYARAKAT","journalAbbreviation":"Martabe : Jurnal Pengabdian Kepada Masyarakat","page":"692-703","publisher":"Universitas Muhammadiyah Tapanuli Selatan","title":"PENDAMPINGAN PENYUSUNAN GENDER ANALISIS PATHWAY DAN GENDER ACTION BUDGET BAGI PERANGKAT DAERAH","author":[{"family":"Kertati","given":"Indra; Rizal Makarim","suffix":"Fadhli; Dalilati Hazhiyah, Hizwati; Kartikasari Handayani, Titis; Hanung Basworo, Fajar"}],"issued":{"date-parts":[["2025"]]}}}],"schema":"https://github.com/citation-style-language/schema/raw/master/csl-citation.json"}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(Kertati, 2025)</w:t>
      </w:r>
      <w:r w:rsidRPr="000F487F">
        <w:rPr>
          <w:rFonts w:asciiTheme="majorHAnsi" w:hAnsiTheme="majorHAnsi"/>
        </w:rPr>
        <w:fldChar w:fldCharType="end"/>
      </w:r>
      <w:r w:rsidRPr="000F487F">
        <w:rPr>
          <w:rFonts w:asciiTheme="majorHAnsi" w:hAnsiTheme="majorHAnsi"/>
        </w:rPr>
        <w:t xml:space="preserve">. The failure of this message deconstruction creates </w:t>
      </w:r>
      <w:r w:rsidRPr="000F487F">
        <w:rPr>
          <w:rFonts w:asciiTheme="majorHAnsi" w:hAnsiTheme="majorHAnsi"/>
          <w:i/>
          <w:iCs/>
        </w:rPr>
        <w:t>implementation gap</w:t>
      </w:r>
      <w:r w:rsidRPr="000F487F">
        <w:rPr>
          <w:rFonts w:asciiTheme="majorHAnsi" w:hAnsiTheme="majorHAnsi"/>
        </w:rPr>
        <w:t xml:space="preserve"> which is massive between the ideal design of policies from the central/district government and real governance practices at the local level. This situation is in line with the findings </w:t>
      </w:r>
      <w:r w:rsidRPr="000F487F">
        <w:rPr>
          <w:rFonts w:asciiTheme="majorHAnsi" w:hAnsiTheme="majorHAnsi"/>
        </w:rPr>
        <w:fldChar w:fldCharType="begin"/>
      </w:r>
      <w:r w:rsidRPr="000F487F">
        <w:rPr>
          <w:rFonts w:asciiTheme="majorHAnsi" w:hAnsiTheme="majorHAnsi"/>
        </w:rPr>
        <w:instrText xml:space="preserve"> ADDIN ZOTERO_ITEM CSL_CITATION {"citationID":"c0ajsA1G","properties":{"formattedCitation":"(Pusadan, 2017)","plainCitation":"(Pusadan, 2017)","noteIndex":0},"citationItems":[{"id":111,"uris":["http://zotero.org/users/local/yobKiu6n/items/FBAQV92Y"],"itemData":{"id":111,"type":"article-journal","ISSN":"2302-2019","page":"191-201","publisher":"e Jurnal Katalogis","title":"IMPLEMENTASI KEBIJAKAN PERENCANAAN DAN PENGANGGARAN YANG RESPONSIF GENDER PADA BADAN PEMBERDAYAAN PEREMPUAN DAN KELUARGA BERENCANA DAERAH PROVINSI SULAWESI TENGAH","volume":"5(2)","author":[{"family":"Pusadan","given":"Syamsiar"}],"issued":{"date-parts":[["2017"]]}}}],"schema":"https://github.com/citation-style-language/schema/raw/master/csl-citation.json"}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Squirrel (2017)</w:t>
      </w:r>
      <w:r w:rsidRPr="000F487F">
        <w:rPr>
          <w:rFonts w:asciiTheme="majorHAnsi" w:hAnsiTheme="majorHAnsi"/>
        </w:rPr>
        <w:fldChar w:fldCharType="end"/>
      </w:r>
      <w:r w:rsidRPr="000F487F">
        <w:rPr>
          <w:rFonts w:asciiTheme="majorHAnsi" w:hAnsiTheme="majorHAnsi"/>
          <w:color w:val="EE0000"/>
        </w:rPr>
        <w:t xml:space="preserve"> </w:t>
      </w:r>
      <w:r w:rsidRPr="000F487F">
        <w:rPr>
          <w:rFonts w:asciiTheme="majorHAnsi" w:hAnsiTheme="majorHAnsi"/>
        </w:rPr>
        <w:t xml:space="preserve">which highlights that gender institutionalization at the regional level is often mired in "artificial compliance", where the fulfillment of documents is carried out in a </w:t>
      </w:r>
      <w:r w:rsidRPr="000F487F">
        <w:rPr>
          <w:rFonts w:asciiTheme="majorHAnsi" w:hAnsiTheme="majorHAnsi"/>
          <w:i/>
          <w:iCs/>
        </w:rPr>
        <w:lastRenderedPageBreak/>
        <w:t>copy-paste</w:t>
      </w:r>
      <w:r w:rsidRPr="000F487F">
        <w:rPr>
          <w:rFonts w:asciiTheme="majorHAnsi" w:hAnsiTheme="majorHAnsi"/>
        </w:rPr>
        <w:t xml:space="preserve"> solely for the sake of aborting administrative obligations, without any transformation of the substantive understanding of policymakers.</w:t>
      </w:r>
    </w:p>
    <w:p w14:paraId="7D8C4F42" w14:textId="497F336F"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Further, from the perspective </w:t>
      </w:r>
      <w:r w:rsidRPr="000F487F">
        <w:rPr>
          <w:rFonts w:asciiTheme="majorHAnsi" w:hAnsiTheme="majorHAnsi"/>
          <w:i/>
          <w:iCs/>
        </w:rPr>
        <w:t>gender planning</w:t>
      </w:r>
      <w:r w:rsidRPr="000F487F">
        <w:rPr>
          <w:rFonts w:asciiTheme="majorHAnsi" w:hAnsiTheme="majorHAnsi"/>
        </w:rPr>
        <w:t>, the weak internalization of this concept reflects a crisis of gender analysis capacity (</w:t>
      </w:r>
      <w:r w:rsidRPr="000F487F">
        <w:rPr>
          <w:rFonts w:asciiTheme="majorHAnsi" w:hAnsiTheme="majorHAnsi"/>
          <w:i/>
          <w:iCs/>
        </w:rPr>
        <w:t>gender analytic capacity</w:t>
      </w:r>
      <w:r w:rsidRPr="000F487F">
        <w:rPr>
          <w:rFonts w:asciiTheme="majorHAnsi" w:hAnsiTheme="majorHAnsi"/>
        </w:rPr>
        <w:t xml:space="preserve">) on the sub-national bureaucracy. </w:t>
      </w:r>
      <w:r w:rsidRPr="000F487F">
        <w:rPr>
          <w:rFonts w:asciiTheme="majorHAnsi" w:hAnsiTheme="majorHAnsi"/>
        </w:rPr>
        <w:fldChar w:fldCharType="begin"/>
      </w:r>
      <w:r w:rsidRPr="000F487F">
        <w:rPr>
          <w:rFonts w:asciiTheme="majorHAnsi" w:hAnsiTheme="majorHAnsi"/>
        </w:rPr>
        <w:instrText xml:space="preserve"> ADDIN ZOTERO_ITEM CSL_CITATION {"citationID":"iH22GnMV","properties":{"formattedCitation":"(Moser, 1993)","plainCitation":"(Moser, 1993)","dontUpdate":true,"noteIndex":0},"citationItems":[{"id":82,"uris":["http://zotero.org/users/local/yobKiu6n/items/7G94GZBT"],"itemData":{"id":82,"type":"article-journal","DOI":"http://dx.doi.org/10.4324/9780203411940","publisher":"Routledge","publisher-place":"London","title":"Gender Planning and Development: Theory, Practice, and Training","author":[{"family":"Moser","given":"C.O.N"}],"issued":{"date-parts":[["1993"]]}}}],"schema":"https://github.com/citation-style-language/schema/raw/master/csl-citation.json"}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Moser (1993)</w:t>
      </w:r>
      <w:r w:rsidRPr="000F487F">
        <w:rPr>
          <w:rFonts w:asciiTheme="majorHAnsi" w:hAnsiTheme="majorHAnsi"/>
        </w:rPr>
        <w:fldChar w:fldCharType="end"/>
      </w:r>
      <w:r w:rsidRPr="000F487F">
        <w:rPr>
          <w:rFonts w:asciiTheme="majorHAnsi" w:hAnsiTheme="majorHAnsi"/>
        </w:rPr>
        <w:t xml:space="preserve"> expressly requires that gender-responsive planners must have analytical acumen to distinguish and intervene in practical gender needs (</w:t>
      </w:r>
      <w:r w:rsidRPr="000F487F">
        <w:rPr>
          <w:rFonts w:asciiTheme="majorHAnsi" w:hAnsiTheme="majorHAnsi"/>
          <w:i/>
          <w:iCs/>
        </w:rPr>
        <w:t>practical gender needs</w:t>
      </w:r>
      <w:r w:rsidRPr="000F487F">
        <w:rPr>
          <w:rFonts w:asciiTheme="majorHAnsi" w:hAnsiTheme="majorHAnsi"/>
        </w:rPr>
        <w:t>) and gender strategic needs</w:t>
      </w:r>
      <w:r w:rsidR="00D67DE3">
        <w:rPr>
          <w:rFonts w:asciiTheme="majorHAnsi" w:hAnsiTheme="majorHAnsi"/>
        </w:rPr>
        <w:t xml:space="preserve">. </w:t>
      </w:r>
      <w:r w:rsidRPr="000F487F">
        <w:rPr>
          <w:rFonts w:asciiTheme="majorHAnsi" w:hAnsiTheme="majorHAnsi"/>
        </w:rPr>
        <w:t xml:space="preserve">Without this analytical knife, the </w:t>
      </w:r>
      <w:proofErr w:type="spellStart"/>
      <w:r w:rsidRPr="000F487F">
        <w:rPr>
          <w:rFonts w:asciiTheme="majorHAnsi" w:hAnsiTheme="majorHAnsi"/>
        </w:rPr>
        <w:t>Sirenja</w:t>
      </w:r>
      <w:proofErr w:type="spellEnd"/>
      <w:r w:rsidRPr="000F487F">
        <w:rPr>
          <w:rFonts w:asciiTheme="majorHAnsi" w:hAnsiTheme="majorHAnsi"/>
        </w:rPr>
        <w:t xml:space="preserve"> District apparatus</w:t>
      </w:r>
      <w:r w:rsidR="00D67DE3">
        <w:rPr>
          <w:rFonts w:asciiTheme="majorHAnsi" w:hAnsiTheme="majorHAnsi"/>
        </w:rPr>
        <w:t xml:space="preserve"> </w:t>
      </w:r>
      <w:r w:rsidRPr="000F487F">
        <w:rPr>
          <w:rFonts w:asciiTheme="majorHAnsi" w:hAnsiTheme="majorHAnsi"/>
        </w:rPr>
        <w:t>which incidentally deals directly with vulnerable women's groups in disaster-prone coastal areas</w:t>
      </w:r>
      <w:r w:rsidR="00D67DE3">
        <w:rPr>
          <w:rFonts w:asciiTheme="majorHAnsi" w:hAnsiTheme="majorHAnsi"/>
        </w:rPr>
        <w:t xml:space="preserve"> </w:t>
      </w:r>
      <w:r w:rsidRPr="000F487F">
        <w:rPr>
          <w:rFonts w:asciiTheme="majorHAnsi" w:hAnsiTheme="majorHAnsi"/>
        </w:rPr>
        <w:t xml:space="preserve">would not be able to formulate a precise protection program. The integration of gender perspectives in the sub-district level </w:t>
      </w:r>
      <w:proofErr w:type="spellStart"/>
      <w:r w:rsidRPr="000F487F">
        <w:rPr>
          <w:rFonts w:asciiTheme="majorHAnsi" w:hAnsiTheme="majorHAnsi"/>
        </w:rPr>
        <w:t>Musrenbang</w:t>
      </w:r>
      <w:proofErr w:type="spellEnd"/>
      <w:r w:rsidRPr="000F487F">
        <w:rPr>
          <w:rFonts w:asciiTheme="majorHAnsi" w:hAnsiTheme="majorHAnsi"/>
        </w:rPr>
        <w:t xml:space="preserve"> document is ultimately only cosmetic, limited to the insertion of the terminology "women" or "mothers" in the proposed narrative, without touching the structural roots of the inequality of power relations that surround it </w:t>
      </w:r>
      <w:r w:rsidRPr="000F487F">
        <w:rPr>
          <w:rFonts w:asciiTheme="majorHAnsi" w:hAnsiTheme="majorHAnsi"/>
        </w:rPr>
        <w:fldChar w:fldCharType="begin"/>
      </w:r>
      <w:r w:rsidRPr="000F487F">
        <w:rPr>
          <w:rFonts w:asciiTheme="majorHAnsi" w:hAnsiTheme="majorHAnsi"/>
        </w:rPr>
        <w:instrText xml:space="preserve"> ADDIN ZOTERO_ITEM CSL_CITATION {"citationID":"aq3bdHMr","properties":{"formattedCitation":"(Anjellika &amp; Lestarika, 2024)","plainCitation":"(Anjellika &amp; Lestarika, 2024)","noteIndex":0},"citationItems":[{"id":70,"uris":["http://zotero.org/users/local/yobKiu6n/items/AYUBM3IA"],"itemData":{"id":70,"type":"article-journal","ISSN":"3031-8882","page":"542-546","publisher":"Jurnal Kajian Hukum Dan Kebijakan Publik","title":"Analisis Mendalam Tentang Kesenjangan Gender Di Indonesia: Perspektif Teori Dan Kebijakan","volume":"2","author":[{"family":"Anjellika","given":"Ega"},{"family":"Lestarika","given":"Dwi Putri"}],"issued":{"date-parts":[["2024"]]}}}],"schema":"https://github.com/citation-style-language/schema/raw/master/csl-citation.json"}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(Anjellika &amp; Lestarika, 2024)</w:t>
      </w:r>
      <w:r w:rsidRPr="000F487F">
        <w:rPr>
          <w:rFonts w:asciiTheme="majorHAnsi" w:hAnsiTheme="majorHAnsi"/>
        </w:rPr>
        <w:fldChar w:fldCharType="end"/>
      </w:r>
      <w:r w:rsidRPr="000F487F">
        <w:rPr>
          <w:rFonts w:asciiTheme="majorHAnsi" w:hAnsiTheme="majorHAnsi"/>
        </w:rPr>
        <w:t xml:space="preserve">. Thus, the PPRG instrument in </w:t>
      </w:r>
      <w:proofErr w:type="spellStart"/>
      <w:r w:rsidRPr="000F487F">
        <w:rPr>
          <w:rFonts w:asciiTheme="majorHAnsi" w:hAnsiTheme="majorHAnsi"/>
        </w:rPr>
        <w:t>Sirenja</w:t>
      </w:r>
      <w:proofErr w:type="spellEnd"/>
      <w:r w:rsidRPr="000F487F">
        <w:rPr>
          <w:rFonts w:asciiTheme="majorHAnsi" w:hAnsiTheme="majorHAnsi"/>
        </w:rPr>
        <w:t xml:space="preserve"> is degraded from its function as a tool of social engineering became merely a mechanism of administrative legitimacy for hierarchical demands.</w:t>
      </w:r>
    </w:p>
    <w:p w14:paraId="0AC9971C" w14:textId="091B557E"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This stagnant condition theoretically leads to the failure of the policy learning process (</w:t>
      </w:r>
      <w:r w:rsidRPr="000F487F">
        <w:rPr>
          <w:rFonts w:asciiTheme="majorHAnsi" w:hAnsiTheme="majorHAnsi"/>
          <w:i/>
          <w:iCs/>
        </w:rPr>
        <w:t>policy learning</w:t>
      </w:r>
      <w:r w:rsidRPr="000F487F">
        <w:rPr>
          <w:rFonts w:asciiTheme="majorHAnsi" w:hAnsiTheme="majorHAnsi"/>
        </w:rPr>
        <w:t xml:space="preserve">) at the local institutional level. According to contemporary public administration literature, </w:t>
      </w:r>
      <w:r w:rsidRPr="000F487F">
        <w:rPr>
          <w:rFonts w:asciiTheme="majorHAnsi" w:hAnsiTheme="majorHAnsi"/>
          <w:i/>
          <w:iCs/>
        </w:rPr>
        <w:t>policy learning</w:t>
      </w:r>
      <w:r w:rsidRPr="000F487F">
        <w:rPr>
          <w:rFonts w:asciiTheme="majorHAnsi" w:hAnsiTheme="majorHAnsi"/>
        </w:rPr>
        <w:t xml:space="preserve"> demands continuous knowledge diffusion, reflective evaluation, and dialogue space for implementing apparatus </w:t>
      </w:r>
      <w:r w:rsidRPr="000F487F">
        <w:rPr>
          <w:rFonts w:asciiTheme="majorHAnsi" w:hAnsiTheme="majorHAnsi"/>
        </w:rPr>
        <w:fldChar w:fldCharType="begin"/>
      </w:r>
      <w:r w:rsidRPr="000F487F">
        <w:rPr>
          <w:rFonts w:asciiTheme="majorHAnsi" w:hAnsiTheme="majorHAnsi"/>
        </w:rPr>
        <w:instrText xml:space="preserve"> ADDIN ZOTERO_ITEM CSL_CITATION {"citationID":"meyeQ8aX","properties":{"formattedCitation":"(Irawan, 2021)","plainCitation":"(Irawan, 2021)","noteIndex":0},"citationItems":[{"id":112,"uris":["http://zotero.org/users/local/yobKiu6n/items/V28VH7Y3"],"itemData":{"id":112,"type":"article-journal","DOI":"https://doi.org/10.15642/ijps.2021.1.2.128-152","page":"128-152","publisher":"Indonesian Journal of Political Studies","title":"Policy Learning dalam Formulasi Kebijakan Penanggulangan Kemiskinan Daerah: Insight dari Gunungkidul","volume":"1(2)","author":[{"family":"Irawan","given":"F.S."}],"issued":{"date-parts":[["2021"]]}}}],"schema":"https://github.com/citation-style-language/schema/raw/master/csl-citation.json"}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(Irawan, 2021)</w:t>
      </w:r>
      <w:r w:rsidRPr="000F487F">
        <w:rPr>
          <w:rFonts w:asciiTheme="majorHAnsi" w:hAnsiTheme="majorHAnsi"/>
        </w:rPr>
        <w:fldChar w:fldCharType="end"/>
      </w:r>
      <w:r w:rsidRPr="000F487F">
        <w:rPr>
          <w:rFonts w:asciiTheme="majorHAnsi" w:hAnsiTheme="majorHAnsi"/>
          <w:color w:val="EE0000"/>
        </w:rPr>
        <w:t xml:space="preserve">. </w:t>
      </w:r>
      <w:r w:rsidRPr="000F487F">
        <w:rPr>
          <w:rFonts w:asciiTheme="majorHAnsi" w:hAnsiTheme="majorHAnsi"/>
        </w:rPr>
        <w:t xml:space="preserve">However, the absence of a dialogical communication strategy, the lack of structural incentives for PUG innovation, and the mutation of positions that often ignore competencies </w:t>
      </w:r>
      <w:r w:rsidRPr="000F487F">
        <w:rPr>
          <w:rFonts w:asciiTheme="majorHAnsi" w:hAnsiTheme="majorHAnsi"/>
          <w:i/>
          <w:iCs/>
        </w:rPr>
        <w:t>Focal Point</w:t>
      </w:r>
      <w:r w:rsidRPr="000F487F">
        <w:rPr>
          <w:rFonts w:asciiTheme="majorHAnsi" w:hAnsiTheme="majorHAnsi"/>
        </w:rPr>
        <w:t>, making the apparatus continue to interpret PPRG as an additional bureaucratic burden</w:t>
      </w:r>
      <w:r w:rsidR="00D67DE3">
        <w:rPr>
          <w:rFonts w:asciiTheme="majorHAnsi" w:hAnsiTheme="majorHAnsi"/>
        </w:rPr>
        <w:t xml:space="preserve">. </w:t>
      </w:r>
      <w:r w:rsidRPr="000F487F">
        <w:rPr>
          <w:rFonts w:asciiTheme="majorHAnsi" w:hAnsiTheme="majorHAnsi"/>
        </w:rPr>
        <w:t xml:space="preserve">Therefore, this research emphasizes that the main problem of the ineffectiveness of PPRG does not lie in the absence of regulations, but in the congestion of knowledge dissemination. The transformation of gender governance at the sub-district level absolutely requires a paradigm shift: from elitist instructional socialization to participatory and sustainable technical assistance. Strengthening institutional capacity through </w:t>
      </w:r>
      <w:r w:rsidRPr="000F487F">
        <w:rPr>
          <w:rFonts w:asciiTheme="majorHAnsi" w:hAnsiTheme="majorHAnsi"/>
          <w:i/>
          <w:iCs/>
        </w:rPr>
        <w:t>policy learning</w:t>
      </w:r>
      <w:r w:rsidRPr="000F487F">
        <w:rPr>
          <w:rFonts w:asciiTheme="majorHAnsi" w:hAnsiTheme="majorHAnsi"/>
        </w:rPr>
        <w:t xml:space="preserve"> This is an absolute prerequisite (</w:t>
      </w:r>
      <w:proofErr w:type="spellStart"/>
      <w:r w:rsidRPr="000F487F">
        <w:rPr>
          <w:rFonts w:asciiTheme="majorHAnsi" w:hAnsiTheme="majorHAnsi"/>
          <w:i/>
          <w:iCs/>
        </w:rPr>
        <w:t>conditio</w:t>
      </w:r>
      <w:proofErr w:type="spellEnd"/>
      <w:r w:rsidRPr="000F487F">
        <w:rPr>
          <w:rFonts w:asciiTheme="majorHAnsi" w:hAnsiTheme="majorHAnsi"/>
          <w:i/>
          <w:iCs/>
        </w:rPr>
        <w:t xml:space="preserve"> sine qua non</w:t>
      </w:r>
      <w:r w:rsidRPr="000F487F">
        <w:rPr>
          <w:rFonts w:asciiTheme="majorHAnsi" w:hAnsiTheme="majorHAnsi"/>
        </w:rPr>
        <w:t>) so that PPRG can transform from just a pile of administrative documents to a substantive and gender-fair public policy.</w:t>
      </w:r>
    </w:p>
    <w:p w14:paraId="08971D5F" w14:textId="0C7F3F57" w:rsidR="000F487F" w:rsidRDefault="00D67DE3" w:rsidP="000F487F">
      <w:pPr>
        <w:pStyle w:val="NormalWeb"/>
        <w:jc w:val="both"/>
        <w:rPr>
          <w:rFonts w:asciiTheme="majorHAnsi" w:hAnsiTheme="majorHAnsi"/>
          <w:b/>
          <w:bCs/>
        </w:rPr>
      </w:pPr>
      <w:r>
        <w:rPr>
          <w:rFonts w:asciiTheme="majorHAnsi" w:hAnsiTheme="majorHAnsi"/>
          <w:b/>
          <w:bCs/>
        </w:rPr>
        <w:t>3</w:t>
      </w:r>
      <w:r w:rsidR="000F487F" w:rsidRPr="000F487F">
        <w:rPr>
          <w:rFonts w:asciiTheme="majorHAnsi" w:hAnsiTheme="majorHAnsi"/>
          <w:b/>
          <w:bCs/>
        </w:rPr>
        <w:t>.4 Capacity Deficits, Data Blindness, and Symbolic Compliance Traps</w:t>
      </w:r>
    </w:p>
    <w:p w14:paraId="058211C2" w14:textId="77777777"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Resource </w:t>
      </w:r>
      <w:r w:rsidRPr="000F487F">
        <w:rPr>
          <w:rFonts w:asciiTheme="majorHAnsi" w:hAnsiTheme="majorHAnsi"/>
          <w:i/>
          <w:iCs/>
        </w:rPr>
        <w:t>variables</w:t>
      </w:r>
      <w:r w:rsidRPr="000F487F">
        <w:rPr>
          <w:rFonts w:asciiTheme="majorHAnsi" w:hAnsiTheme="majorHAnsi"/>
        </w:rPr>
        <w:t xml:space="preserve"> were identified as the epicenter of structural barriers in the implementation of Gender-Responsive Planning and Budgeting (PPRG) in </w:t>
      </w:r>
      <w:proofErr w:type="spellStart"/>
      <w:r w:rsidRPr="000F487F">
        <w:rPr>
          <w:rFonts w:asciiTheme="majorHAnsi" w:hAnsiTheme="majorHAnsi"/>
        </w:rPr>
        <w:t>Sirenja</w:t>
      </w:r>
      <w:proofErr w:type="spellEnd"/>
      <w:r w:rsidRPr="000F487F">
        <w:rPr>
          <w:rFonts w:asciiTheme="majorHAnsi" w:hAnsiTheme="majorHAnsi"/>
        </w:rPr>
        <w:t xml:space="preserve"> District. The limited resources found go beyond just fiscal allocation deficits; it manifests in the form of low quality of technical human resources (HR) and the absence of an adequate gender-disaggregated data architecture. Field findings show that although </w:t>
      </w:r>
      <w:r w:rsidRPr="000F487F">
        <w:rPr>
          <w:rFonts w:asciiTheme="majorHAnsi" w:hAnsiTheme="majorHAnsi"/>
          <w:i/>
          <w:iCs/>
        </w:rPr>
        <w:t>the PUG Focal Point</w:t>
      </w:r>
      <w:r w:rsidRPr="000F487F">
        <w:rPr>
          <w:rFonts w:asciiTheme="majorHAnsi" w:hAnsiTheme="majorHAnsi"/>
        </w:rPr>
        <w:t xml:space="preserve"> has been established legally-formally at the sub-district level, the apparatus operates in a vacuum. They are not equipped with continuous technical training interventions, the absence of standard </w:t>
      </w:r>
      <w:r w:rsidRPr="000F487F">
        <w:rPr>
          <w:rFonts w:asciiTheme="majorHAnsi" w:hAnsiTheme="majorHAnsi"/>
          <w:i/>
          <w:iCs/>
        </w:rPr>
        <w:t xml:space="preserve">operating procedures </w:t>
      </w:r>
      <w:r w:rsidRPr="000F487F">
        <w:rPr>
          <w:rFonts w:asciiTheme="majorHAnsi" w:hAnsiTheme="majorHAnsi"/>
        </w:rPr>
        <w:t xml:space="preserve">that are adaptive to the local context, and the absence of a structured operational budget scheme. This condition reduces the role of </w:t>
      </w:r>
      <w:r w:rsidRPr="000F487F">
        <w:rPr>
          <w:rFonts w:asciiTheme="majorHAnsi" w:hAnsiTheme="majorHAnsi"/>
          <w:i/>
          <w:iCs/>
        </w:rPr>
        <w:t>the Focal Point</w:t>
      </w:r>
      <w:r w:rsidRPr="000F487F">
        <w:rPr>
          <w:rFonts w:asciiTheme="majorHAnsi" w:hAnsiTheme="majorHAnsi"/>
        </w:rPr>
        <w:t xml:space="preserve"> PUG to an entity that is more symbolic than functional in the real cycle of regional development planning.</w:t>
      </w:r>
    </w:p>
    <w:p w14:paraId="6ADD371F" w14:textId="491E31B5"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In the perspective of institutional theory, this situation is a classic manifestation of what is being put forward </w:t>
      </w:r>
      <w:r w:rsidRPr="000F487F">
        <w:rPr>
          <w:rFonts w:asciiTheme="majorHAnsi" w:hAnsiTheme="majorHAnsi"/>
        </w:rPr>
        <w:fldChar w:fldCharType="begin"/>
      </w:r>
      <w:r w:rsidRPr="000F487F">
        <w:rPr>
          <w:rFonts w:asciiTheme="majorHAnsi" w:hAnsiTheme="majorHAnsi"/>
        </w:rPr>
        <w:instrText xml:space="preserve"> ADDIN ZOTERO_ITEM CSL_CITATION {"citationID":"AqppQot6","properties":{"formattedCitation":"(Goetz, 1997)","plainCitation":"(Goetz, 1997)","dontUpdate":true,"noteIndex":0},"citationItems":[{"id":84,"uris":["http://zotero.org/users/local/yobKiu6n/items/MEEH6VGY"],"itemData":{"id":84,"type":"book","number-of-pages":"248","publisher":"Zed Books","publisher-place":"London","title":"Getting institutions right for women in development","author":[{"family":"Goetz","given":"A.M"}],"issued":{"date-parts":[["1997"]]}}}],"schema":"https://github.com/citation-style-language/schema/raw/master/csl-citation.json"}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Goetz (1997)</w:t>
      </w:r>
      <w:r w:rsidRPr="000F487F">
        <w:rPr>
          <w:rFonts w:asciiTheme="majorHAnsi" w:hAnsiTheme="majorHAnsi"/>
        </w:rPr>
        <w:fldChar w:fldCharType="end"/>
      </w:r>
      <w:r w:rsidRPr="000F487F">
        <w:rPr>
          <w:rFonts w:asciiTheme="majorHAnsi" w:hAnsiTheme="majorHAnsi"/>
        </w:rPr>
        <w:t xml:space="preserve"> As </w:t>
      </w:r>
      <w:r w:rsidRPr="000F487F">
        <w:rPr>
          <w:rFonts w:asciiTheme="majorHAnsi" w:hAnsiTheme="majorHAnsi"/>
          <w:i/>
          <w:iCs/>
        </w:rPr>
        <w:t>symbolic compliance</w:t>
      </w:r>
      <w:r w:rsidRPr="000F487F">
        <w:rPr>
          <w:rFonts w:asciiTheme="majorHAnsi" w:hAnsiTheme="majorHAnsi"/>
        </w:rPr>
        <w:t xml:space="preserve"> (symbolic compliance)</w:t>
      </w:r>
      <w:r w:rsidR="00D67DE3">
        <w:rPr>
          <w:rFonts w:asciiTheme="majorHAnsi" w:hAnsiTheme="majorHAnsi"/>
        </w:rPr>
        <w:t xml:space="preserve"> </w:t>
      </w:r>
      <w:r w:rsidRPr="000F487F">
        <w:rPr>
          <w:rFonts w:asciiTheme="majorHAnsi" w:hAnsiTheme="majorHAnsi"/>
        </w:rPr>
        <w:t xml:space="preserve">a condition in which a gender institutional structure is formed solely to respond to </w:t>
      </w:r>
      <w:r w:rsidRPr="000F487F">
        <w:rPr>
          <w:rFonts w:asciiTheme="majorHAnsi" w:hAnsiTheme="majorHAnsi"/>
        </w:rPr>
        <w:lastRenderedPageBreak/>
        <w:t xml:space="preserve">regulatory (coercive) pressure from the central government, without the delegation of authority and the injection of essential resources. Contemporary international public administration literature conceptualizes this phenomenon as </w:t>
      </w:r>
      <w:r w:rsidRPr="000F487F">
        <w:rPr>
          <w:rFonts w:asciiTheme="majorHAnsi" w:hAnsiTheme="majorHAnsi"/>
          <w:i/>
          <w:iCs/>
        </w:rPr>
        <w:t xml:space="preserve">institutional decoupling </w:t>
      </w:r>
      <w:r w:rsidRPr="000F487F">
        <w:rPr>
          <w:rFonts w:asciiTheme="majorHAnsi" w:hAnsiTheme="majorHAnsi"/>
        </w:rPr>
        <w:fldChar w:fldCharType="begin"/>
      </w:r>
      <w:r w:rsidRPr="000F487F">
        <w:rPr>
          <w:rFonts w:asciiTheme="majorHAnsi" w:hAnsiTheme="majorHAnsi"/>
        </w:rPr>
        <w:instrText xml:space="preserve"> ADDIN ZOTERO_ITEM CSL_CITATION {"citationID":"R1jf8147","properties":{"formattedCitation":"(Espersson, 2024)","plainCitation":"(Espersson, 2024)","noteIndex":0},"citationItems":[{"id":91,"uris":["http://zotero.org/users/local/yobKiu6n/items/2P25R4NC"],"itemData":{"id":91,"type":"book","number-of-pages":"502","publisher-place":"Portugal","title":"Exploring The Challenges Of Gender Mainstreaming In Public Administration","URL":"https://www.europeansociology.org/conference/2024","author":[{"family":"Espersson","given":"Malin"}],"issued":{"date-parts":[["2024"]]}}}],"schema":"https://github.com/citation-style-language/schema/raw/master/csl-citation.json"}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(Espersson, 2024)</w:t>
      </w:r>
      <w:r w:rsidRPr="000F487F">
        <w:rPr>
          <w:rFonts w:asciiTheme="majorHAnsi" w:hAnsiTheme="majorHAnsi"/>
        </w:rPr>
        <w:fldChar w:fldCharType="end"/>
      </w:r>
      <w:r w:rsidRPr="000F487F">
        <w:rPr>
          <w:rFonts w:asciiTheme="majorHAnsi" w:hAnsiTheme="majorHAnsi"/>
        </w:rPr>
        <w:t xml:space="preserve">. </w:t>
      </w:r>
      <w:r w:rsidRPr="000F487F">
        <w:rPr>
          <w:rFonts w:asciiTheme="majorHAnsi" w:hAnsiTheme="majorHAnsi"/>
        </w:rPr>
        <w:fldChar w:fldCharType="begin"/>
      </w:r>
      <w:r w:rsidRPr="000F487F">
        <w:rPr>
          <w:rFonts w:asciiTheme="majorHAnsi" w:hAnsiTheme="majorHAnsi"/>
        </w:rPr>
        <w:instrText xml:space="preserve"> ADDIN ZOTERO_ITEM CSL_CITATION {"citationID":"EZIK0LlB","properties":{"formattedCitation":"(Espersson, 2024)","plainCitation":"(Espersson, 2024)","dontUpdate":true,"noteIndex":0},"citationItems":[{"id":91,"uris":["http://zotero.org/users/local/yobKiu6n/items/2P25R4NC"],"itemData":{"id":91,"type":"book","number-of-pages":"502","publisher-place":"Portugal","title":"Exploring The Challenges Of Gender Mainstreaming In Public Administration","URL":"https://www.europeansociology.org/conference/2024","author":[{"family":"Espersson","given":"Malin"}],"issued":{"date-parts":[["2024"]]}}}],"schema":"https://github.com/citation-style-language/schema/raw/master/csl-citation.json"}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Espersson (2024)</w:t>
      </w:r>
      <w:r w:rsidRPr="000F487F">
        <w:rPr>
          <w:rFonts w:asciiTheme="majorHAnsi" w:hAnsiTheme="majorHAnsi"/>
        </w:rPr>
        <w:fldChar w:fldCharType="end"/>
      </w:r>
      <w:r w:rsidRPr="000F487F">
        <w:rPr>
          <w:rFonts w:asciiTheme="majorHAnsi" w:hAnsiTheme="majorHAnsi"/>
        </w:rPr>
        <w:t xml:space="preserve"> asserts that when public policy innovations (such as gender budgeting) are not accompanied by resource commitments, the mechanism will be "detached" (</w:t>
      </w:r>
      <w:r w:rsidRPr="000F487F">
        <w:rPr>
          <w:rFonts w:asciiTheme="majorHAnsi" w:hAnsiTheme="majorHAnsi"/>
          <w:i/>
          <w:iCs/>
        </w:rPr>
        <w:t>decoupled</w:t>
      </w:r>
      <w:r w:rsidRPr="000F487F">
        <w:rPr>
          <w:rFonts w:asciiTheme="majorHAnsi" w:hAnsiTheme="majorHAnsi"/>
        </w:rPr>
        <w:t xml:space="preserve">) from the core budgeting process and only becomes an instrument of bureaucratic public relations. This logically explains why the existence of </w:t>
      </w:r>
      <w:r w:rsidRPr="000F487F">
        <w:rPr>
          <w:rFonts w:asciiTheme="majorHAnsi" w:hAnsiTheme="majorHAnsi"/>
          <w:i/>
          <w:iCs/>
        </w:rPr>
        <w:t>Focal Point</w:t>
      </w:r>
      <w:r w:rsidRPr="000F487F">
        <w:rPr>
          <w:rFonts w:asciiTheme="majorHAnsi" w:hAnsiTheme="majorHAnsi"/>
        </w:rPr>
        <w:t xml:space="preserve"> and the PUG Working Group in </w:t>
      </w:r>
      <w:proofErr w:type="spellStart"/>
      <w:r w:rsidRPr="000F487F">
        <w:rPr>
          <w:rFonts w:asciiTheme="majorHAnsi" w:hAnsiTheme="majorHAnsi"/>
        </w:rPr>
        <w:t>Sirenja</w:t>
      </w:r>
      <w:proofErr w:type="spellEnd"/>
      <w:r w:rsidRPr="000F487F">
        <w:rPr>
          <w:rFonts w:asciiTheme="majorHAnsi" w:hAnsiTheme="majorHAnsi"/>
        </w:rPr>
        <w:t xml:space="preserve"> failed to transform into </w:t>
      </w:r>
      <w:r w:rsidRPr="000F487F">
        <w:rPr>
          <w:rFonts w:asciiTheme="majorHAnsi" w:hAnsiTheme="majorHAnsi"/>
          <w:i/>
          <w:iCs/>
        </w:rPr>
        <w:t>policy entrepreneur</w:t>
      </w:r>
      <w:r w:rsidRPr="000F487F">
        <w:rPr>
          <w:rFonts w:asciiTheme="majorHAnsi" w:hAnsiTheme="majorHAnsi"/>
        </w:rPr>
        <w:t xml:space="preserve"> (agents of policy change), but trapped as a non-bargaining administrative complement in the arena of </w:t>
      </w:r>
      <w:proofErr w:type="spellStart"/>
      <w:r w:rsidRPr="000F487F">
        <w:rPr>
          <w:rFonts w:asciiTheme="majorHAnsi" w:hAnsiTheme="majorHAnsi"/>
        </w:rPr>
        <w:t>Musrenbang</w:t>
      </w:r>
      <w:proofErr w:type="spellEnd"/>
      <w:r w:rsidRPr="000F487F">
        <w:rPr>
          <w:rFonts w:asciiTheme="majorHAnsi" w:hAnsiTheme="majorHAnsi"/>
        </w:rPr>
        <w:t xml:space="preserve"> contestation.</w:t>
      </w:r>
    </w:p>
    <w:p w14:paraId="7C67FF78" w14:textId="08982F28"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Furthermore, this deficit in human resource capabilities has a direct impact on the paralysis of apparatus in conducting gender analysis. Without technocratic mastery of operational instruments such as </w:t>
      </w:r>
      <w:r w:rsidRPr="000F487F">
        <w:rPr>
          <w:rFonts w:asciiTheme="majorHAnsi" w:hAnsiTheme="majorHAnsi"/>
          <w:i/>
          <w:iCs/>
        </w:rPr>
        <w:t>Gender Analysis Pathway</w:t>
      </w:r>
      <w:r w:rsidRPr="000F487F">
        <w:rPr>
          <w:rFonts w:asciiTheme="majorHAnsi" w:hAnsiTheme="majorHAnsi"/>
        </w:rPr>
        <w:t xml:space="preserve"> (GAP) and </w:t>
      </w:r>
      <w:r w:rsidRPr="000F487F">
        <w:rPr>
          <w:rFonts w:asciiTheme="majorHAnsi" w:hAnsiTheme="majorHAnsi"/>
          <w:i/>
          <w:iCs/>
        </w:rPr>
        <w:t>Gender Budget Statement</w:t>
      </w:r>
      <w:r w:rsidRPr="000F487F">
        <w:rPr>
          <w:rFonts w:asciiTheme="majorHAnsi" w:hAnsiTheme="majorHAnsi"/>
        </w:rPr>
        <w:t xml:space="preserve"> (GBS), sub-district apparatus has difficulty translating structural gender inequality issues into programs and nomenclature of activities that </w:t>
      </w:r>
      <w:proofErr w:type="spellStart"/>
      <w:r w:rsidRPr="00D67DE3">
        <w:rPr>
          <w:rFonts w:asciiTheme="majorHAnsi" w:hAnsiTheme="majorHAnsi"/>
        </w:rPr>
        <w:t>budgetable</w:t>
      </w:r>
      <w:proofErr w:type="spellEnd"/>
      <w:r w:rsidRPr="000F487F">
        <w:rPr>
          <w:rFonts w:asciiTheme="majorHAnsi" w:hAnsiTheme="majorHAnsi"/>
        </w:rPr>
        <w:t xml:space="preserve">. This failure is in line with comparative findings from </w:t>
      </w:r>
      <w:r w:rsidRPr="000F487F">
        <w:rPr>
          <w:rFonts w:asciiTheme="majorHAnsi" w:hAnsiTheme="majorHAnsi"/>
        </w:rPr>
        <w:fldChar w:fldCharType="begin"/>
      </w:r>
      <w:r w:rsidRPr="000F487F">
        <w:rPr>
          <w:rFonts w:asciiTheme="majorHAnsi" w:hAnsiTheme="majorHAnsi"/>
        </w:rPr>
        <w:instrText xml:space="preserve"> ADDIN ZOTERO_ITEM CSL_CITATION {"citationID":"S9BoCTxH","properties":{"formattedCitation":"(Polzer dkk., 2021)","plainCitation":"(Polzer dkk., 2021)","dontUpdate":true,"noteIndex":0},"citationItems":[{"id":92,"uris":["http://zotero.org/users/local/yobKiu6n/items/QT7EITUS"],"itemData":{"id":92,"type":"article-journal","DOI":"10.1177/00208523211031796.","publisher":"International Review of Administrative Sciences","title":"Gender Budgeting in Public Financial Management: A Literature Review and Research Agenda","author":[{"family":"Polzer","given":"Tobias"},{"family":"Nolte","given":"Isabella"},{"family":"Seiwald","given":"Johann"}],"issued":{"date-parts":[["2021"]]}}}],"schema":"https://github.com/citation-style-language/schema/raw/master/csl-citation.json"}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Polzer dkk (2021)</w:t>
      </w:r>
      <w:r w:rsidRPr="000F487F">
        <w:rPr>
          <w:rFonts w:asciiTheme="majorHAnsi" w:hAnsiTheme="majorHAnsi"/>
        </w:rPr>
        <w:fldChar w:fldCharType="end"/>
      </w:r>
      <w:r w:rsidRPr="000F487F">
        <w:rPr>
          <w:rFonts w:asciiTheme="majorHAnsi" w:hAnsiTheme="majorHAnsi"/>
        </w:rPr>
        <w:t xml:space="preserve"> in a study of gender budgeting in developing countries, which concluded that the ineffectiveness of GRB is not rooted in ideological rejection, but rather in </w:t>
      </w:r>
      <w:r w:rsidRPr="000F487F">
        <w:rPr>
          <w:rFonts w:asciiTheme="majorHAnsi" w:hAnsiTheme="majorHAnsi"/>
          <w:i/>
          <w:iCs/>
        </w:rPr>
        <w:t>technical capability trap</w:t>
      </w:r>
      <w:r w:rsidRPr="000F487F">
        <w:rPr>
          <w:rFonts w:asciiTheme="majorHAnsi" w:hAnsiTheme="majorHAnsi"/>
        </w:rPr>
        <w:t xml:space="preserve"> (technical capability trap). Local government apparatus often lacks adequate "fiscal-gender literacy" to bridge the gap between social justice agendas and the rigidity of public sector accounting formats.</w:t>
      </w:r>
    </w:p>
    <w:p w14:paraId="3E456573" w14:textId="5C190B8D" w:rsidR="000F487F" w:rsidRDefault="000F487F" w:rsidP="000F487F">
      <w:pPr>
        <w:pStyle w:val="NormalWeb"/>
        <w:ind w:firstLine="426"/>
        <w:jc w:val="both"/>
        <w:rPr>
          <w:rFonts w:asciiTheme="majorHAnsi" w:hAnsiTheme="majorHAnsi"/>
        </w:rPr>
      </w:pPr>
      <w:r w:rsidRPr="000F487F">
        <w:rPr>
          <w:rFonts w:asciiTheme="majorHAnsi" w:hAnsiTheme="majorHAnsi"/>
        </w:rPr>
        <w:t>This human resource barrier is further exacerbated by the absence of precise gender-disaggregated data at the site level. In modern governance, the absence of data is a form of "epistemological blindness" that hinders the realization of evidence-based planning</w:t>
      </w:r>
      <w:r w:rsidR="00D67DE3">
        <w:rPr>
          <w:rFonts w:asciiTheme="majorHAnsi" w:hAnsiTheme="majorHAnsi"/>
        </w:rPr>
        <w:t xml:space="preserve">. </w:t>
      </w:r>
      <w:r w:rsidRPr="000F487F">
        <w:rPr>
          <w:rFonts w:asciiTheme="majorHAnsi" w:hAnsiTheme="majorHAnsi"/>
        </w:rPr>
        <w:t xml:space="preserve">The development planning process in </w:t>
      </w:r>
      <w:proofErr w:type="spellStart"/>
      <w:r w:rsidRPr="000F487F">
        <w:rPr>
          <w:rFonts w:asciiTheme="majorHAnsi" w:hAnsiTheme="majorHAnsi"/>
        </w:rPr>
        <w:t>Sirenja</w:t>
      </w:r>
      <w:proofErr w:type="spellEnd"/>
      <w:r w:rsidRPr="000F487F">
        <w:rPr>
          <w:rFonts w:asciiTheme="majorHAnsi" w:hAnsiTheme="majorHAnsi"/>
        </w:rPr>
        <w:t xml:space="preserve"> tends to use an aggregate approach that generalizes the needs of communal communities, thereby drowning out the specific urgency and vulnerability of coastal women. This paradoxical condition confirms that the success of PPRG is highly dependent on </w:t>
      </w:r>
      <w:r w:rsidRPr="000F487F">
        <w:rPr>
          <w:rFonts w:asciiTheme="majorHAnsi" w:hAnsiTheme="majorHAnsi"/>
          <w:i/>
          <w:iCs/>
        </w:rPr>
        <w:t xml:space="preserve">data infrastructure </w:t>
      </w:r>
      <w:r w:rsidRPr="000F487F">
        <w:rPr>
          <w:rFonts w:asciiTheme="majorHAnsi" w:hAnsiTheme="majorHAnsi"/>
          <w:i/>
          <w:iCs/>
        </w:rPr>
        <w:fldChar w:fldCharType="begin"/>
      </w:r>
      <w:r w:rsidRPr="000F487F">
        <w:rPr>
          <w:rFonts w:asciiTheme="majorHAnsi" w:hAnsiTheme="majorHAnsi"/>
          <w:i/>
          <w:iCs/>
        </w:rPr>
        <w:instrText xml:space="preserve"> ADDIN ZOTERO_ITEM CSL_CITATION {"citationID":"sLucD473","properties":{"formattedCitation":"(Singh &amp; Das, 2025)","plainCitation":"(Singh &amp; Das, 2025)","noteIndex":0},"citationItems":[{"id":113,"uris":["http://zotero.org/users/local/yobKiu6n/items/A4KLL2PJ"],"itemData":{"id":113,"type":"article-journal","abstract":"While effective governance is seen as a cure for development ills, the equalizing role of gender equality in the distribution of income also needs to be emphasized. This study analyses the link between economic disparity and effective governance in 21 emerging Asian countries, as well as the moderating function of gender equality in this causal connection. Fixed effects model is used to analyse the panel data covering the period from 2001 to 2022. The results indicate two main findings -(1) Enhancements in governance metrics, such as government efficiency, regulatory quality, and corruption control, may not always result in a decrease in income inequality; in fact, in certain situations, they may make the gaps worse. (2) Income inequality is always made worse by gender inequality, but when gender disparity and governance interact, distributive results can be moderated by inclusive governance arrangements. This implies that while strengthening governance generally contributes to reducing inequality, its effectiveness diminishes in contexts of high gender disparity. Therefore, without addressing gender inequality, the capacity of good governance to narrow income gaps remains limited. The study thus emphasizes the need for integrated policy approaches in developing Asia, wherein institutional development and gender equality reforms are carried out simultaneously to achieve equitable growth.","container-title":"Social Sciences &amp; Humanities Open","DOI":"10.1016/j.ssaho.2025.102159","ISSN":"2590-2911","journalAbbreviation":"Social Sciences &amp; Humanities Open","page":"102159","title":"The role of gender equality and effective governance in reducing income inequality: Evidence from developing Asia","volume":"12","author":[{"family":"Singh","given":"Vaishali"},{"family":"Das","given":"Promila"}],"issued":{"date-parts":[["2025",1,1]]}}}],"schema":"https://github.com/citation-style-language/schema/raw/master/csl-citation.json"} </w:instrText>
      </w:r>
      <w:r w:rsidRPr="000F487F">
        <w:rPr>
          <w:rFonts w:asciiTheme="majorHAnsi" w:hAnsiTheme="majorHAnsi"/>
          <w:i/>
          <w:iCs/>
        </w:rPr>
        <w:fldChar w:fldCharType="separate"/>
      </w:r>
      <w:r w:rsidRPr="000F487F">
        <w:rPr>
          <w:rFonts w:asciiTheme="majorHAnsi" w:hAnsiTheme="majorHAnsi"/>
          <w:i/>
          <w:iCs/>
          <w:noProof/>
        </w:rPr>
        <w:t>(Singh &amp; Das, 2025)</w:t>
      </w:r>
      <w:r w:rsidRPr="000F487F">
        <w:rPr>
          <w:rFonts w:asciiTheme="majorHAnsi" w:hAnsiTheme="majorHAnsi"/>
          <w:i/>
          <w:iCs/>
        </w:rPr>
        <w:fldChar w:fldCharType="end"/>
      </w:r>
      <w:r w:rsidRPr="000F487F">
        <w:rPr>
          <w:rFonts w:asciiTheme="majorHAnsi" w:hAnsiTheme="majorHAnsi"/>
        </w:rPr>
        <w:t xml:space="preserve">. Recent international studies by </w:t>
      </w:r>
      <w:r w:rsidRPr="000F487F">
        <w:rPr>
          <w:rFonts w:asciiTheme="majorHAnsi" w:hAnsiTheme="majorHAnsi"/>
        </w:rPr>
        <w:fldChar w:fldCharType="begin"/>
      </w:r>
      <w:r w:rsidRPr="000F487F">
        <w:rPr>
          <w:rFonts w:asciiTheme="majorHAnsi" w:hAnsiTheme="majorHAnsi"/>
        </w:rPr>
        <w:instrText xml:space="preserve"> ADDIN ZOTERO_ITEM CSL_CITATION {"citationID":"1Hub8TTX","properties":{"formattedCitation":"(Vito dkk., 2025)","plainCitation":"(Vito dkk., 2025)","dontUpdate":true,"noteIndex":0},"citationItems":[{"id":93,"uris":["http://zotero.org/users/local/yobKiu6n/items/KG8SG33G"],"itemData":{"id":93,"type":"article-journal","DOI":"https://doi.org/10.36941/ajis-2025-0006","page":"81","publisher":"Academic Journal of Interdisciplinary Studies","title":"Gender Responsive Budgeting Enabling Factors in Local Government Practice","volume":"14(1)","author":[{"family":"Vito","given":"Diamanta"},{"family":"Klun","given":"Maja"},{"family":"Iztok","given":"Rakar"}],"issued":{"date-parts":[["2025"]]}}}],"schema":"https://github.com/citation-style-language/schema/raw/master/csl-citation.json"}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Vito et al., (2025)</w:t>
      </w:r>
      <w:r w:rsidRPr="000F487F">
        <w:rPr>
          <w:rFonts w:asciiTheme="majorHAnsi" w:hAnsiTheme="majorHAnsi"/>
        </w:rPr>
        <w:fldChar w:fldCharType="end"/>
      </w:r>
      <w:r w:rsidRPr="000F487F">
        <w:rPr>
          <w:rFonts w:asciiTheme="majorHAnsi" w:hAnsiTheme="majorHAnsi"/>
        </w:rPr>
        <w:t xml:space="preserve"> It even asserts that weak gender data systems at the sub-national government level are a major predictor of affirmative policy failure, as unsupported planning by disaggregated data will inherently result in "gender-blind policies" (</w:t>
      </w:r>
      <w:r w:rsidRPr="000F487F">
        <w:rPr>
          <w:rFonts w:asciiTheme="majorHAnsi" w:hAnsiTheme="majorHAnsi"/>
          <w:i/>
          <w:iCs/>
        </w:rPr>
        <w:t>gender-blind policies</w:t>
      </w:r>
      <w:r w:rsidRPr="000F487F">
        <w:rPr>
          <w:rFonts w:asciiTheme="majorHAnsi" w:hAnsiTheme="majorHAnsi"/>
        </w:rPr>
        <w:t>).</w:t>
      </w:r>
    </w:p>
    <w:p w14:paraId="5B5DA392" w14:textId="67B067E5" w:rsidR="000F487F" w:rsidRDefault="000F487F" w:rsidP="000F487F">
      <w:pPr>
        <w:pStyle w:val="NormalWeb"/>
        <w:ind w:firstLine="426"/>
        <w:jc w:val="both"/>
        <w:rPr>
          <w:rFonts w:asciiTheme="majorHAnsi" w:hAnsiTheme="majorHAnsi"/>
        </w:rPr>
      </w:pPr>
      <w:r w:rsidRPr="000F487F">
        <w:rPr>
          <w:rFonts w:asciiTheme="majorHAnsi" w:hAnsiTheme="majorHAnsi"/>
        </w:rPr>
        <w:t xml:space="preserve">Therefore, the conclusion of the limited resources in </w:t>
      </w:r>
      <w:proofErr w:type="spellStart"/>
      <w:r w:rsidRPr="000F487F">
        <w:rPr>
          <w:rFonts w:asciiTheme="majorHAnsi" w:hAnsiTheme="majorHAnsi"/>
        </w:rPr>
        <w:t>Sirenja</w:t>
      </w:r>
      <w:proofErr w:type="spellEnd"/>
      <w:r w:rsidRPr="000F487F">
        <w:rPr>
          <w:rFonts w:asciiTheme="majorHAnsi" w:hAnsiTheme="majorHAnsi"/>
        </w:rPr>
        <w:t xml:space="preserve"> District cannot be reduced solely as a matter of regional cash scarcity (</w:t>
      </w:r>
      <w:r w:rsidRPr="000F487F">
        <w:rPr>
          <w:rFonts w:asciiTheme="majorHAnsi" w:hAnsiTheme="majorHAnsi"/>
          <w:i/>
          <w:iCs/>
        </w:rPr>
        <w:t>financial scarcity</w:t>
      </w:r>
      <w:r w:rsidRPr="000F487F">
        <w:rPr>
          <w:rFonts w:asciiTheme="majorHAnsi" w:hAnsiTheme="majorHAnsi"/>
        </w:rPr>
        <w:t xml:space="preserve">). This phenomenon reflects the fragility of systemic institutional capacity. Inadequate human and financial resources, exacerbated by low discipline and local government participation in maintaining the PUG institutional ecosystem, are absolute contributors to the stagnation of PPRG implementation </w:t>
      </w:r>
      <w:r w:rsidRPr="000F487F">
        <w:rPr>
          <w:rFonts w:asciiTheme="majorHAnsi" w:hAnsiTheme="majorHAnsi"/>
        </w:rPr>
        <w:fldChar w:fldCharType="begin"/>
      </w:r>
      <w:r w:rsidRPr="000F487F">
        <w:rPr>
          <w:rFonts w:asciiTheme="majorHAnsi" w:hAnsiTheme="majorHAnsi"/>
        </w:rPr>
        <w:instrText xml:space="preserve"> ADDIN ZOTERO_ITEM CSL_CITATION {"citationID":"ZrWvJZIn","properties":{"formattedCitation":"(Hadi, 2024)","plainCitation":"(Hadi, 2024)","noteIndex":0},"citationItems":[{"id":87,"uris":["http://zotero.org/users/local/yobKiu6n/items/FMGTIEH7"],"itemData":{"id":87,"type":"article-journal","DOI":"10.30589/proceedings.2024.1049","page":"157-169","publisher":"Iapa Proceedings Conference","title":"Implementasi dan Tantangan Anggaran Responsif Gender: Studi Literature.","author":[{"family":"Hadi","given":"H"}],"issued":{"date-parts":[["2024"]]}}}],"schema":"https://github.com/citation-style-language/schema/raw/master/csl-citation.json"}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(Hadi, 2024)</w:t>
      </w:r>
      <w:r w:rsidRPr="000F487F">
        <w:rPr>
          <w:rFonts w:asciiTheme="majorHAnsi" w:hAnsiTheme="majorHAnsi"/>
        </w:rPr>
        <w:fldChar w:fldCharType="end"/>
      </w:r>
      <w:r w:rsidRPr="000F487F">
        <w:rPr>
          <w:rFonts w:asciiTheme="majorHAnsi" w:hAnsiTheme="majorHAnsi"/>
        </w:rPr>
        <w:t xml:space="preserve">. Without serious institutional engineering—in the form of investment in human resource technical literacy, digitization of grassroots gender data systems, and definitive operational budget allocations—PPRG policies in </w:t>
      </w:r>
      <w:proofErr w:type="spellStart"/>
      <w:r w:rsidRPr="000F487F">
        <w:rPr>
          <w:rFonts w:asciiTheme="majorHAnsi" w:hAnsiTheme="majorHAnsi"/>
        </w:rPr>
        <w:t>Sirenja</w:t>
      </w:r>
      <w:proofErr w:type="spellEnd"/>
      <w:r w:rsidRPr="000F487F">
        <w:rPr>
          <w:rFonts w:asciiTheme="majorHAnsi" w:hAnsiTheme="majorHAnsi"/>
        </w:rPr>
        <w:t xml:space="preserve"> will continue to be mired in a vortex of administrative compliance and fail to fulfill their essence as an instrument of inclusive social transformation.</w:t>
      </w:r>
    </w:p>
    <w:p w14:paraId="20893A7D" w14:textId="04F0584A" w:rsidR="000F487F" w:rsidRDefault="00D67DE3" w:rsidP="000F487F">
      <w:pPr>
        <w:pStyle w:val="NormalWeb"/>
        <w:ind w:left="426" w:hanging="426"/>
        <w:jc w:val="both"/>
        <w:rPr>
          <w:rFonts w:asciiTheme="majorHAnsi" w:hAnsiTheme="majorHAnsi"/>
          <w:b/>
          <w:bCs/>
        </w:rPr>
      </w:pPr>
      <w:r>
        <w:rPr>
          <w:rFonts w:asciiTheme="majorHAnsi" w:hAnsiTheme="majorHAnsi"/>
          <w:b/>
          <w:bCs/>
        </w:rPr>
        <w:t>3</w:t>
      </w:r>
      <w:r w:rsidR="000F487F" w:rsidRPr="000F487F">
        <w:rPr>
          <w:rFonts w:asciiTheme="majorHAnsi" w:hAnsiTheme="majorHAnsi"/>
          <w:b/>
          <w:bCs/>
        </w:rPr>
        <w:t xml:space="preserve">.5 Cognitive Dissonance, Latent Resistance, and the Pitfalls of </w:t>
      </w:r>
      <w:proofErr w:type="gramStart"/>
      <w:r w:rsidR="000F487F" w:rsidRPr="000F487F">
        <w:rPr>
          <w:rFonts w:asciiTheme="majorHAnsi" w:hAnsiTheme="majorHAnsi"/>
          <w:b/>
          <w:bCs/>
        </w:rPr>
        <w:t xml:space="preserve">Institutional </w:t>
      </w:r>
      <w:r w:rsidR="000F487F">
        <w:rPr>
          <w:rFonts w:asciiTheme="majorHAnsi" w:hAnsiTheme="majorHAnsi"/>
          <w:b/>
          <w:bCs/>
        </w:rPr>
        <w:t xml:space="preserve"> </w:t>
      </w:r>
      <w:r w:rsidR="000F487F" w:rsidRPr="000F487F">
        <w:rPr>
          <w:rFonts w:asciiTheme="majorHAnsi" w:hAnsiTheme="majorHAnsi"/>
          <w:b/>
          <w:bCs/>
        </w:rPr>
        <w:t>Isomorphism</w:t>
      </w:r>
      <w:proofErr w:type="gramEnd"/>
    </w:p>
    <w:p w14:paraId="49C31AF9"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The disposition or attitude of the policy implementer (</w:t>
      </w:r>
      <w:r w:rsidRPr="000F487F">
        <w:rPr>
          <w:rFonts w:asciiTheme="majorHAnsi" w:hAnsiTheme="majorHAnsi"/>
          <w:i/>
          <w:iCs/>
        </w:rPr>
        <w:t>implementors' disposition</w:t>
      </w:r>
      <w:r w:rsidRPr="000F487F">
        <w:rPr>
          <w:rFonts w:asciiTheme="majorHAnsi" w:hAnsiTheme="majorHAnsi"/>
        </w:rPr>
        <w:t xml:space="preserve">) in the governance of Gender Responsive Planning and Budgeting (PPRG) in </w:t>
      </w:r>
      <w:proofErr w:type="spellStart"/>
      <w:r w:rsidRPr="000F487F">
        <w:rPr>
          <w:rFonts w:asciiTheme="majorHAnsi" w:hAnsiTheme="majorHAnsi"/>
        </w:rPr>
        <w:t>Sirenja</w:t>
      </w:r>
      <w:proofErr w:type="spellEnd"/>
      <w:r w:rsidRPr="000F487F">
        <w:rPr>
          <w:rFonts w:asciiTheme="majorHAnsi" w:hAnsiTheme="majorHAnsi"/>
        </w:rPr>
        <w:t xml:space="preserve"> District </w:t>
      </w:r>
      <w:r w:rsidRPr="000F487F">
        <w:rPr>
          <w:rFonts w:asciiTheme="majorHAnsi" w:hAnsiTheme="majorHAnsi"/>
        </w:rPr>
        <w:lastRenderedPageBreak/>
        <w:t>shows a very ambivalent tendency. On the one hand, at the rhetorical level, there is a normative recognition from the apparatus of the importance of gender equality as a pillar of inclusive development. But on the other hand, this recognition experiences dissonance when faced with the praxis of planning and budgeting. Gender issues are persistently marginalized as an artificial agenda (</w:t>
      </w:r>
      <w:r w:rsidRPr="000F487F">
        <w:rPr>
          <w:rFonts w:asciiTheme="majorHAnsi" w:hAnsiTheme="majorHAnsi"/>
          <w:i/>
          <w:iCs/>
        </w:rPr>
        <w:t>Add-on</w:t>
      </w:r>
      <w:r w:rsidRPr="000F487F">
        <w:rPr>
          <w:rFonts w:asciiTheme="majorHAnsi" w:hAnsiTheme="majorHAnsi"/>
        </w:rPr>
        <w:t>), instead of being integrated as a cross-sector perspective (</w:t>
      </w:r>
      <w:r w:rsidRPr="000F487F">
        <w:rPr>
          <w:rFonts w:asciiTheme="majorHAnsi" w:hAnsiTheme="majorHAnsi"/>
          <w:i/>
          <w:iCs/>
        </w:rPr>
        <w:t>cross-cutting issue</w:t>
      </w:r>
      <w:r w:rsidRPr="000F487F">
        <w:rPr>
          <w:rFonts w:asciiTheme="majorHAnsi" w:hAnsiTheme="majorHAnsi"/>
        </w:rPr>
        <w:t xml:space="preserve">) that guides the entire policy cycle. This empirical condition represents what is in the classical framework </w:t>
      </w:r>
      <w:r w:rsidRPr="000F487F">
        <w:rPr>
          <w:rFonts w:asciiTheme="majorHAnsi" w:hAnsiTheme="majorHAnsi"/>
        </w:rPr>
        <w:fldChar w:fldCharType="begin"/>
      </w:r>
      <w:r w:rsidRPr="000F487F">
        <w:rPr>
          <w:rFonts w:asciiTheme="majorHAnsi" w:hAnsiTheme="majorHAnsi"/>
        </w:rPr>
        <w:instrText xml:space="preserve"> ADDIN ZOTERO_ITEM CSL_CITATION {"citationID":"ZB5OjsQc","properties":{"formattedCitation":"(Edwards, 1980)","plainCitation":"(Edwards, 1980)","dontUpdate":true,"noteIndex":0},"citationItems":[{"id":62,"uris":["http://zotero.org/users/local/yobKiu6n/items/NZH69PYP"],"itemData":{"id":62,"type":"book","collection-title":"Politics and public policy series","ISBN":"978-0-87187-155-8","note":"LCCN: 80023705","publisher":"Congressional Quarterly Press","title":"Implementing Public Policy","URL":"https://books.google.co.id/books?id=hAq8AAAAIAAJ","author":[{"family":"Edwards","given":"G.C."}],"issued":{"date-parts":[["1980"]]}}}],"schema":"https://github.com/citation-style-language/schema/raw/master/csl-citation.json"}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Edwards (1980)</w:t>
      </w:r>
      <w:r w:rsidRPr="000F487F">
        <w:rPr>
          <w:rFonts w:asciiTheme="majorHAnsi" w:hAnsiTheme="majorHAnsi"/>
        </w:rPr>
        <w:fldChar w:fldCharType="end"/>
      </w:r>
      <w:r w:rsidRPr="000F487F">
        <w:rPr>
          <w:rFonts w:asciiTheme="majorHAnsi" w:hAnsiTheme="majorHAnsi"/>
        </w:rPr>
        <w:t xml:space="preserve"> diagnosed as a deficit of the executor's disposition, i.e. low willpower (</w:t>
      </w:r>
      <w:r w:rsidRPr="000F487F">
        <w:rPr>
          <w:rFonts w:asciiTheme="majorHAnsi" w:hAnsiTheme="majorHAnsi"/>
          <w:i/>
          <w:iCs/>
        </w:rPr>
        <w:t>willingness</w:t>
      </w:r>
      <w:r w:rsidRPr="000F487F">
        <w:rPr>
          <w:rFonts w:asciiTheme="majorHAnsi" w:hAnsiTheme="majorHAnsi"/>
        </w:rPr>
        <w:t>) and internal commitment of the apparatus. When a policy intervention is not internalized as a strategic priority by implementing bureaucrats at the grassroots level (</w:t>
      </w:r>
      <w:r w:rsidRPr="000F487F">
        <w:rPr>
          <w:rFonts w:asciiTheme="majorHAnsi" w:hAnsiTheme="majorHAnsi"/>
          <w:i/>
          <w:iCs/>
        </w:rPr>
        <w:t>street-level bureaucrats</w:t>
      </w:r>
      <w:r w:rsidRPr="000F487F">
        <w:rPr>
          <w:rFonts w:asciiTheme="majorHAnsi" w:hAnsiTheme="majorHAnsi"/>
        </w:rPr>
        <w:t xml:space="preserve">), then the implementation will shrink to a minimalist and purely procedural action. The phenomenon in </w:t>
      </w:r>
      <w:proofErr w:type="spellStart"/>
      <w:r w:rsidRPr="000F487F">
        <w:rPr>
          <w:rFonts w:asciiTheme="majorHAnsi" w:hAnsiTheme="majorHAnsi"/>
        </w:rPr>
        <w:t>Sirenja</w:t>
      </w:r>
      <w:proofErr w:type="spellEnd"/>
      <w:r w:rsidRPr="000F487F">
        <w:rPr>
          <w:rFonts w:asciiTheme="majorHAnsi" w:hAnsiTheme="majorHAnsi"/>
        </w:rPr>
        <w:t xml:space="preserve"> proves that the existence of legal-formal regulations is not necessarily able to break the bureaucratic inertia; The lack of initiative by the apparatus to utilize gender analysis is clear evidence of the stagnation of this commitment.</w:t>
      </w:r>
    </w:p>
    <w:p w14:paraId="5CEEB03A"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Theoretically, this stagnation can be sharply dissected through the lens </w:t>
      </w:r>
      <w:r w:rsidRPr="000F487F">
        <w:rPr>
          <w:rFonts w:asciiTheme="majorHAnsi" w:hAnsiTheme="majorHAnsi"/>
          <w:i/>
          <w:iCs/>
        </w:rPr>
        <w:t>New Institutionalism</w:t>
      </w:r>
      <w:r w:rsidRPr="000F487F">
        <w:rPr>
          <w:rFonts w:asciiTheme="majorHAnsi" w:hAnsiTheme="majorHAnsi"/>
        </w:rPr>
        <w:t xml:space="preserve">, especially the concept </w:t>
      </w:r>
      <w:r w:rsidRPr="000F487F">
        <w:rPr>
          <w:rFonts w:asciiTheme="majorHAnsi" w:hAnsiTheme="majorHAnsi"/>
          <w:i/>
          <w:iCs/>
        </w:rPr>
        <w:t>institutional isomorphism</w:t>
      </w:r>
      <w:r w:rsidRPr="000F487F">
        <w:rPr>
          <w:rFonts w:asciiTheme="majorHAnsi" w:hAnsiTheme="majorHAnsi"/>
        </w:rPr>
        <w:t xml:space="preserve"> (institutional isomorphism) of </w:t>
      </w:r>
      <w:r w:rsidRPr="000F487F">
        <w:rPr>
          <w:rFonts w:asciiTheme="majorHAnsi" w:hAnsiTheme="majorHAnsi"/>
        </w:rPr>
        <w:fldChar w:fldCharType="begin"/>
      </w:r>
      <w:r w:rsidRPr="000F487F">
        <w:rPr>
          <w:rFonts w:asciiTheme="majorHAnsi" w:hAnsiTheme="majorHAnsi"/>
        </w:rPr>
        <w:instrText xml:space="preserve"> ADDIN ZOTERO_ITEM CSL_CITATION {"citationID":"149kS6tw","properties":{"formattedCitation":"(DiMaggio &amp; Powell, 1983)","plainCitation":"(DiMaggio &amp; Powell, 1983)","dontUpdate":true,"noteIndex":0},"citationItems":[{"id":94,"uris":["http://zotero.org/users/local/yobKiu6n/items/PFB5UB6N"],"itemData":{"id":94,"type":"article-journal","DOI":"https://doi.org/10.2307/2095101","page":"147-160","publisher":"American Sociological Review","title":"The iron cage revisited: Institutional isomorphism and collective rationality in organizational fields","volume":"48(2)","author":[{"family":"DiMaggio","given":"P.J."},{"family":"Powell","given":"W.W."}],"issued":{"date-parts":[["1983"]]}}}],"schema":"https://github.com/citation-style-language/schema/raw/master/csl-citation.json"}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DiMaggio &amp; Powell (1983)</w:t>
      </w:r>
      <w:r w:rsidRPr="000F487F">
        <w:rPr>
          <w:rFonts w:asciiTheme="majorHAnsi" w:hAnsiTheme="majorHAnsi"/>
        </w:rPr>
        <w:fldChar w:fldCharType="end"/>
      </w:r>
      <w:r w:rsidRPr="000F487F">
        <w:rPr>
          <w:rFonts w:asciiTheme="majorHAnsi" w:hAnsiTheme="majorHAnsi"/>
        </w:rPr>
        <w:t xml:space="preserve"> and ideas </w:t>
      </w:r>
      <w:r w:rsidRPr="000F487F">
        <w:rPr>
          <w:rFonts w:asciiTheme="majorHAnsi" w:hAnsiTheme="majorHAnsi"/>
        </w:rPr>
        <w:fldChar w:fldCharType="begin"/>
      </w:r>
      <w:r w:rsidRPr="000F487F">
        <w:rPr>
          <w:rFonts w:asciiTheme="majorHAnsi" w:hAnsiTheme="majorHAnsi"/>
        </w:rPr>
        <w:instrText xml:space="preserve"> ADDIN ZOTERO_ITEM CSL_CITATION {"citationID":"uOichS2t","properties":{"formattedCitation":"(Meyer &amp; Rowan, 1977)","plainCitation":"(Meyer &amp; Rowan, 1977)","dontUpdate":true,"noteIndex":0},"citationItems":[{"id":95,"uris":["http://zotero.org/users/local/yobKiu6n/items/QKEUA7M6"],"itemData":{"id":95,"type":"article-journal","DOI":"http://dx.doi.org/10.1086/226550","page":"340-363","publisher":"American Journal of Sociology","title":"Institutionalized Organizations: Formal Structure as Myth and Ceremony","volume":"83","author":[{"family":"Meyer","given":"J"},{"family":"Rowan","given":"B"}],"issued":{"date-parts":[["1977"]]}}}],"schema":"https://github.com/citation-style-language/schema/raw/master/csl-citation.json"}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Meyer &amp; Rowan (1977)</w:t>
      </w:r>
      <w:r w:rsidRPr="000F487F">
        <w:rPr>
          <w:rFonts w:asciiTheme="majorHAnsi" w:hAnsiTheme="majorHAnsi"/>
        </w:rPr>
        <w:fldChar w:fldCharType="end"/>
      </w:r>
      <w:r w:rsidRPr="000F487F">
        <w:rPr>
          <w:rFonts w:asciiTheme="majorHAnsi" w:hAnsiTheme="majorHAnsi"/>
        </w:rPr>
        <w:t xml:space="preserve">. Public sector organizations at the local level often adopt new policy structures or practices solely as a coercive response to gain legitimacy from superstructural entities (central or district governments), rather than to boost substantive performance. Contemporary public administration literature refers to this phenomenon as </w:t>
      </w:r>
      <w:r w:rsidRPr="000F487F">
        <w:rPr>
          <w:rFonts w:asciiTheme="majorHAnsi" w:hAnsiTheme="majorHAnsi"/>
          <w:i/>
          <w:iCs/>
        </w:rPr>
        <w:t xml:space="preserve">normative decoupling </w:t>
      </w:r>
      <w:r w:rsidRPr="000F487F">
        <w:rPr>
          <w:rFonts w:asciiTheme="majorHAnsi" w:hAnsiTheme="majorHAnsi"/>
        </w:rPr>
        <w:fldChar w:fldCharType="begin"/>
      </w:r>
      <w:r w:rsidRPr="000F487F">
        <w:rPr>
          <w:rFonts w:asciiTheme="majorHAnsi" w:hAnsiTheme="majorHAnsi"/>
        </w:rPr>
        <w:instrText xml:space="preserve"> ADDIN ZOTERO_ITEM CSL_CITATION {"citationID":"l2NFIvSK","properties":{"formattedCitation":"(Gur\\uc0\\u259{}u, 2017)","plainCitation":"(Gur</w:instrText>
      </w:r>
      <w:r w:rsidRPr="000F487F">
        <w:rPr>
          <w:rFonts w:asciiTheme="majorHAnsi" w:hAnsiTheme="majorHAnsi" w:cs="Cambria"/>
        </w:rPr>
        <w:instrText>ă</w:instrText>
      </w:r>
      <w:r w:rsidRPr="000F487F">
        <w:rPr>
          <w:rFonts w:asciiTheme="majorHAnsi" w:hAnsiTheme="majorHAnsi"/>
        </w:rPr>
        <w:instrText>u, 2017)","noteIndex":0},"citationItems":[{"id":97,"uris":["http://zotero.org/users/local/yobKiu6n/items/M4PC2M3M"],"itemData":{"id":97,"type":"book","DOI":"10.1007/978-3-319-45186-2_10.","title":"Decoupling in Organizational Ethics: An Institutional Perspective.","author":[{"family":"Gur</w:instrText>
      </w:r>
      <w:r w:rsidRPr="000F487F">
        <w:rPr>
          <w:rFonts w:asciiTheme="majorHAnsi" w:hAnsiTheme="majorHAnsi" w:cs="Cambria"/>
        </w:rPr>
        <w:instrText>ă</w:instrText>
      </w:r>
      <w:r w:rsidRPr="000F487F">
        <w:rPr>
          <w:rFonts w:asciiTheme="majorHAnsi" w:hAnsiTheme="majorHAnsi"/>
        </w:rPr>
        <w:instrText>u","given":"C</w:instrText>
      </w:r>
      <w:r w:rsidRPr="000F487F">
        <w:rPr>
          <w:rFonts w:asciiTheme="majorHAnsi" w:hAnsiTheme="majorHAnsi" w:cs="Cambria"/>
        </w:rPr>
        <w:instrText>ă</w:instrText>
      </w:r>
      <w:r w:rsidRPr="000F487F">
        <w:rPr>
          <w:rFonts w:asciiTheme="majorHAnsi" w:hAnsiTheme="majorHAnsi"/>
        </w:rPr>
        <w:instrText xml:space="preserve">lin"}],"issued":{"date-parts":[["2017"]]}}}],"schema":"https://github.com/citation-style-language/schema/raw/master/csl-citation.json"}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szCs w:val="40"/>
        </w:rPr>
        <w:t>(Gur</w:t>
      </w:r>
      <w:r w:rsidRPr="000F487F">
        <w:rPr>
          <w:rFonts w:asciiTheme="majorHAnsi" w:hAnsiTheme="majorHAnsi" w:cs="Cambria"/>
          <w:szCs w:val="40"/>
        </w:rPr>
        <w:t>ă</w:t>
      </w:r>
      <w:r w:rsidRPr="000F487F">
        <w:rPr>
          <w:rFonts w:asciiTheme="majorHAnsi" w:hAnsiTheme="majorHAnsi"/>
          <w:szCs w:val="40"/>
        </w:rPr>
        <w:t>u, 2017)</w:t>
      </w:r>
      <w:r w:rsidRPr="000F487F">
        <w:rPr>
          <w:rFonts w:asciiTheme="majorHAnsi" w:hAnsiTheme="majorHAnsi"/>
        </w:rPr>
        <w:fldChar w:fldCharType="end"/>
      </w:r>
      <w:r w:rsidRPr="000F487F">
        <w:rPr>
          <w:rFonts w:asciiTheme="majorHAnsi" w:hAnsiTheme="majorHAnsi"/>
          <w:i/>
          <w:iCs/>
        </w:rPr>
        <w:t>.</w:t>
      </w:r>
      <w:r w:rsidRPr="000F487F">
        <w:rPr>
          <w:rFonts w:asciiTheme="majorHAnsi" w:hAnsiTheme="majorHAnsi"/>
        </w:rPr>
        <w:t xml:space="preserve"> In </w:t>
      </w:r>
      <w:proofErr w:type="spellStart"/>
      <w:r w:rsidRPr="000F487F">
        <w:rPr>
          <w:rFonts w:asciiTheme="majorHAnsi" w:hAnsiTheme="majorHAnsi"/>
        </w:rPr>
        <w:t>Sirenja</w:t>
      </w:r>
      <w:proofErr w:type="spellEnd"/>
      <w:r w:rsidRPr="000F487F">
        <w:rPr>
          <w:rFonts w:asciiTheme="majorHAnsi" w:hAnsiTheme="majorHAnsi"/>
        </w:rPr>
        <w:t xml:space="preserve">, the legitimacy of the bureaucracy is considered "finished" with the presence of the PPRG document, the issuance of the decree </w:t>
      </w:r>
      <w:r w:rsidRPr="000F487F">
        <w:rPr>
          <w:rFonts w:asciiTheme="majorHAnsi" w:hAnsiTheme="majorHAnsi"/>
          <w:i/>
          <w:iCs/>
        </w:rPr>
        <w:t>Focal Point</w:t>
      </w:r>
      <w:r w:rsidRPr="000F487F">
        <w:rPr>
          <w:rFonts w:asciiTheme="majorHAnsi" w:hAnsiTheme="majorHAnsi"/>
        </w:rPr>
        <w:t xml:space="preserve"> PUG, as well as the insertion of the terminology "female" in the </w:t>
      </w:r>
      <w:proofErr w:type="spellStart"/>
      <w:r w:rsidRPr="000F487F">
        <w:rPr>
          <w:rFonts w:asciiTheme="majorHAnsi" w:hAnsiTheme="majorHAnsi"/>
        </w:rPr>
        <w:t>Musrenbang</w:t>
      </w:r>
      <w:proofErr w:type="spellEnd"/>
      <w:r w:rsidRPr="000F487F">
        <w:rPr>
          <w:rFonts w:asciiTheme="majorHAnsi" w:hAnsiTheme="majorHAnsi"/>
        </w:rPr>
        <w:t xml:space="preserve"> matrix. This practice perpetuates </w:t>
      </w:r>
      <w:r w:rsidRPr="000F487F">
        <w:rPr>
          <w:rFonts w:asciiTheme="majorHAnsi" w:hAnsiTheme="majorHAnsi"/>
          <w:i/>
          <w:iCs/>
        </w:rPr>
        <w:t>symbolic implementation</w:t>
      </w:r>
      <w:r w:rsidRPr="000F487F">
        <w:rPr>
          <w:rFonts w:asciiTheme="majorHAnsi" w:hAnsiTheme="majorHAnsi"/>
        </w:rPr>
        <w:t xml:space="preserve">, where adherence to policy stops at ceremonial storefronts and fails to touch the heart of social transformation. Bureaucratic resistance to the gender agenda does not always take the form of frontal rejection. Global discourse on </w:t>
      </w:r>
      <w:r w:rsidRPr="000F487F">
        <w:rPr>
          <w:rFonts w:asciiTheme="majorHAnsi" w:hAnsiTheme="majorHAnsi"/>
          <w:i/>
          <w:iCs/>
        </w:rPr>
        <w:t>gender mainstreaming</w:t>
      </w:r>
      <w:r w:rsidRPr="000F487F">
        <w:rPr>
          <w:rFonts w:asciiTheme="majorHAnsi" w:hAnsiTheme="majorHAnsi"/>
        </w:rPr>
        <w:t xml:space="preserve"> suggests that PPRG failures are often orchestrated through very subtle rejection (</w:t>
      </w:r>
      <w:r w:rsidRPr="000F487F">
        <w:rPr>
          <w:rFonts w:asciiTheme="majorHAnsi" w:hAnsiTheme="majorHAnsi"/>
          <w:i/>
          <w:iCs/>
        </w:rPr>
        <w:t>subtle resistance</w:t>
      </w:r>
      <w:r w:rsidRPr="000F487F">
        <w:rPr>
          <w:rFonts w:asciiTheme="majorHAnsi" w:hAnsiTheme="majorHAnsi"/>
        </w:rPr>
        <w:t xml:space="preserve">). </w:t>
      </w:r>
      <w:r w:rsidRPr="000F487F">
        <w:rPr>
          <w:rFonts w:asciiTheme="majorHAnsi" w:hAnsiTheme="majorHAnsi"/>
        </w:rPr>
        <w:fldChar w:fldCharType="begin"/>
      </w:r>
      <w:r w:rsidRPr="000F487F">
        <w:rPr>
          <w:rFonts w:asciiTheme="majorHAnsi" w:hAnsiTheme="majorHAnsi"/>
        </w:rPr>
        <w:instrText xml:space="preserve"> ADDIN ZOTERO_ITEM CSL_CITATION {"citationID":"PXtlmGwG","properties":{"formattedCitation":"(Mergaert &amp; Lombardo, 2017)","plainCitation":"(Mergaert &amp; Lombardo, 2017)","dontUpdate":true,"noteIndex":0},"citationItems":[{"id":35,"uris":["http://zotero.org/users/local/yobKiu6n/items/NMACKDLM"],"itemData":{"id":35,"type":"chapter","container-title":"Towards gendering institutionalism: Equality in Europe","publisher":"Littlefield International","title":"Resistance to implementing gender mainstreaming in EU research policy","author":[{"family":"Mergaert","given":"L."},{"family":"Lombardo","given":"E."}],"editor":[{"family":"MacRae","given":"H."},{"family":"Weiner","given":"E."}],"issued":{"date-parts":[["2017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Mergaert &amp; Lombardo (2017)</w:t>
      </w:r>
      <w:r w:rsidRPr="000F487F">
        <w:rPr>
          <w:rFonts w:asciiTheme="majorHAnsi" w:hAnsiTheme="majorHAnsi"/>
        </w:rPr>
        <w:fldChar w:fldCharType="end"/>
      </w:r>
      <w:r w:rsidRPr="000F487F">
        <w:rPr>
          <w:rFonts w:asciiTheme="majorHAnsi" w:hAnsiTheme="majorHAnsi"/>
        </w:rPr>
        <w:t xml:space="preserve"> in his study of the public apparatus in Europe found that this latent resistance manifests itself in the form of "gender fatigue" (</w:t>
      </w:r>
      <w:r w:rsidRPr="000F487F">
        <w:rPr>
          <w:rFonts w:asciiTheme="majorHAnsi" w:hAnsiTheme="majorHAnsi"/>
          <w:i/>
          <w:iCs/>
        </w:rPr>
        <w:t>gender fatigue</w:t>
      </w:r>
      <w:r w:rsidRPr="000F487F">
        <w:rPr>
          <w:rFonts w:asciiTheme="majorHAnsi" w:hAnsiTheme="majorHAnsi"/>
        </w:rPr>
        <w:t xml:space="preserve">), administrative delays, or attempts to maintain the status quo under the narrative of "gender-neutral planning." The findings in </w:t>
      </w:r>
      <w:proofErr w:type="spellStart"/>
      <w:r w:rsidRPr="000F487F">
        <w:rPr>
          <w:rFonts w:asciiTheme="majorHAnsi" w:hAnsiTheme="majorHAnsi"/>
        </w:rPr>
        <w:t>Sirenja</w:t>
      </w:r>
      <w:proofErr w:type="spellEnd"/>
      <w:r w:rsidRPr="000F487F">
        <w:rPr>
          <w:rFonts w:asciiTheme="majorHAnsi" w:hAnsiTheme="majorHAnsi"/>
        </w:rPr>
        <w:t xml:space="preserve"> replicate that global pattern; The absence of explicit resistance actually masks the structural reluctance of the apparatus to deconstruct conventional planning practices that are pseudo-considered to be fair, even though they are inherently masculine biased </w:t>
      </w:r>
      <w:r w:rsidRPr="000F487F">
        <w:rPr>
          <w:rFonts w:asciiTheme="majorHAnsi" w:hAnsiTheme="majorHAnsi"/>
        </w:rPr>
        <w:fldChar w:fldCharType="begin"/>
      </w:r>
      <w:r w:rsidRPr="000F487F">
        <w:rPr>
          <w:rFonts w:asciiTheme="majorHAnsi" w:hAnsiTheme="majorHAnsi"/>
        </w:rPr>
        <w:instrText xml:space="preserve"> ADDIN ZOTERO_ITEM CSL_CITATION {"citationID":"IyewZyYU","properties":{"formattedCitation":"(Cavaghan, 2017)","plainCitation":"(Cavaghan, 2017)","noteIndex":0},"citationItems":[{"id":99,"uris":["http://zotero.org/users/local/yobKiu6n/items/AFKIPRCG"],"itemData":{"id":99,"type":"book","DOI":"https://doi.org/10.4324/9781315658544","ISBN":"978-1-315-65854-4","number-of-pages":"242","publisher":"Routledge","publisher-place":"New York","title":"Making Gender Equality Happen: Knowledge, Change and Resistance in EU Gender Mainstreaming.","author":[{"family":"Cavaghan","given":"Rosalind"}],"issued":{"date-parts":[["2017"]]}}}],"schema":"https://github.com/citation-style-language/schema/raw/master/csl-citation.json"}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(Cavaghan, 2017)</w:t>
      </w:r>
      <w:r w:rsidRPr="000F487F">
        <w:rPr>
          <w:rFonts w:asciiTheme="majorHAnsi" w:hAnsiTheme="majorHAnsi"/>
        </w:rPr>
        <w:fldChar w:fldCharType="end"/>
      </w:r>
      <w:r w:rsidRPr="000F487F">
        <w:rPr>
          <w:rFonts w:asciiTheme="majorHAnsi" w:hAnsiTheme="majorHAnsi"/>
          <w:i/>
          <w:iCs/>
        </w:rPr>
        <w:t>.</w:t>
      </w:r>
    </w:p>
    <w:p w14:paraId="4BEB7EE1"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This stagnation of disposition is further exacerbated by the vacuum governance design of incentive and disincentive instruments (</w:t>
      </w:r>
      <w:r w:rsidRPr="000F487F">
        <w:rPr>
          <w:rFonts w:asciiTheme="majorHAnsi" w:hAnsiTheme="majorHAnsi"/>
          <w:i/>
          <w:iCs/>
        </w:rPr>
        <w:t>reward and punishment mechanism</w:t>
      </w:r>
      <w:r w:rsidRPr="000F487F">
        <w:rPr>
          <w:rFonts w:asciiTheme="majorHAnsi" w:hAnsiTheme="majorHAnsi"/>
        </w:rPr>
        <w:t xml:space="preserve">). Without tying gender-responsive performance into individual and agency Key Performance Indicators (KPIs), officials do not have a rational incentive to change their work routines. Comparative analysis of </w:t>
      </w:r>
      <w:r w:rsidRPr="000F487F">
        <w:rPr>
          <w:rFonts w:asciiTheme="majorHAnsi" w:hAnsiTheme="majorHAnsi"/>
        </w:rPr>
        <w:fldChar w:fldCharType="begin"/>
      </w:r>
      <w:r w:rsidRPr="000F487F">
        <w:rPr>
          <w:rFonts w:asciiTheme="majorHAnsi" w:hAnsiTheme="majorHAnsi"/>
        </w:rPr>
        <w:instrText xml:space="preserve"> ADDIN ZOTERO_ITEM CSL_CITATION {"citationID":"4XlyHyah","properties":{"formattedCitation":"(Downes &amp; Nicole, 2020)","plainCitation":"(Downes &amp; Nicole, 2020)","dontUpdate":true,"noteIndex":0},"citationItems":[{"id":100,"uris":["http://zotero.org/users/local/yobKiu6n/items/5QRMJ7IH"],"itemData":{"id":100,"type":"article-journal","DOI":"20. 10.1787/689198fa-en.","publisher":"OECD Journal on Budgeting","title":"Designing and implementing gender budgeting – a path to action.","author":[{"family":"Downes","given":"Ronnie"},{"family":"Nicole","given":"Scherie"}],"issued":{"date-parts":[["2020"]]}}}],"schema":"https://github.com/citation-style-language/schema/raw/master/csl-citation.json"}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Downes &amp; Nicole (2020)</w:t>
      </w:r>
      <w:r w:rsidRPr="000F487F">
        <w:rPr>
          <w:rFonts w:asciiTheme="majorHAnsi" w:hAnsiTheme="majorHAnsi"/>
        </w:rPr>
        <w:fldChar w:fldCharType="end"/>
      </w:r>
      <w:r w:rsidRPr="000F487F">
        <w:rPr>
          <w:rFonts w:asciiTheme="majorHAnsi" w:hAnsiTheme="majorHAnsi"/>
        </w:rPr>
        <w:t xml:space="preserve"> in various OECD countries, as well as the UNDP report (2023), conclusively affirms that successful gender budgeting absolutely requires transformative leadership (</w:t>
      </w:r>
      <w:r w:rsidRPr="000F487F">
        <w:rPr>
          <w:rFonts w:asciiTheme="majorHAnsi" w:hAnsiTheme="majorHAnsi"/>
          <w:i/>
          <w:iCs/>
        </w:rPr>
        <w:t>tone at the top</w:t>
      </w:r>
      <w:r w:rsidRPr="000F487F">
        <w:rPr>
          <w:rFonts w:asciiTheme="majorHAnsi" w:hAnsiTheme="majorHAnsi"/>
        </w:rPr>
        <w:t xml:space="preserve">) and a strict accountability architecture. If the failure to prepare a Gender Responsive Budget (ARG) does not have an impact on performance evaluation or cuts in the fiscal allocation of the agency/sub-district, then PPRG will forever be considered a paper tiger </w:t>
      </w:r>
      <w:r w:rsidRPr="000F487F">
        <w:rPr>
          <w:rFonts w:asciiTheme="majorHAnsi" w:hAnsiTheme="majorHAnsi"/>
        </w:rPr>
        <w:fldChar w:fldCharType="begin"/>
      </w:r>
      <w:r w:rsidRPr="000F487F">
        <w:rPr>
          <w:rFonts w:asciiTheme="majorHAnsi" w:hAnsiTheme="majorHAnsi"/>
        </w:rPr>
        <w:instrText xml:space="preserve"> ADDIN ZOTERO_ITEM CSL_CITATION {"citationID":"JUK3mXce","properties":{"formattedCitation":"(Wahid dkk., 2023)","plainCitation":"(Wahid dkk., 2023)","noteIndex":0},"citationItems":[{"id":114,"uris":["http://zotero.org/users/local/yobKiu6n/items/YE3CMVB9"],"itemData":{"id":114,"type":"article-journal","DOI":"https://doi.org/10.47030/administrasita.v14i1.612","page":"12-21","publisher":"Jurnal Ilmiah Administrasita'","title":"IMPLEMENTASI KEBIJAKAN PERENCANAAN DAN PENGANGGARAN YANG RESPONSIF GENDER (PPRG) KABUPATEN SINJAI","volume":"14(1)","author":[{"family":"Wahid","given":"Abd"},{"family":"Mukhlis","given":"Suardi"},{"family":"Nirwana","given":""}],"issued":{"date-parts":[["2023"]]}}}],"schema":"https://github.com/citation-style-language/schema/raw/master/csl-citation.json"}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(Wahid et al., 2023)</w:t>
      </w:r>
      <w:r w:rsidRPr="000F487F">
        <w:rPr>
          <w:rFonts w:asciiTheme="majorHAnsi" w:hAnsiTheme="majorHAnsi"/>
        </w:rPr>
        <w:fldChar w:fldCharType="end"/>
      </w:r>
      <w:r w:rsidRPr="000F487F">
        <w:rPr>
          <w:rFonts w:asciiTheme="majorHAnsi" w:hAnsiTheme="majorHAnsi"/>
        </w:rPr>
        <w:t>.</w:t>
      </w:r>
    </w:p>
    <w:p w14:paraId="246F6777" w14:textId="77777777" w:rsidR="000F487F" w:rsidRDefault="000F487F" w:rsidP="000F487F">
      <w:pPr>
        <w:pStyle w:val="NormalWeb"/>
        <w:ind w:firstLine="426"/>
        <w:jc w:val="both"/>
        <w:rPr>
          <w:rFonts w:asciiTheme="majorHAnsi" w:hAnsiTheme="majorHAnsi"/>
        </w:rPr>
      </w:pPr>
      <w:r w:rsidRPr="000F487F">
        <w:rPr>
          <w:rFonts w:asciiTheme="majorHAnsi" w:hAnsiTheme="majorHAnsi"/>
        </w:rPr>
        <w:lastRenderedPageBreak/>
        <w:t xml:space="preserve">Based on the above analysis, it can be concluded that the fundamental challenge of PPRG implementation in </w:t>
      </w:r>
      <w:proofErr w:type="spellStart"/>
      <w:r w:rsidRPr="000F487F">
        <w:rPr>
          <w:rFonts w:asciiTheme="majorHAnsi" w:hAnsiTheme="majorHAnsi"/>
        </w:rPr>
        <w:t>Sirenja</w:t>
      </w:r>
      <w:proofErr w:type="spellEnd"/>
      <w:r w:rsidRPr="000F487F">
        <w:rPr>
          <w:rFonts w:asciiTheme="majorHAnsi" w:hAnsiTheme="majorHAnsi"/>
        </w:rPr>
        <w:t xml:space="preserve"> is not just a problem of technical blindness or regulatory deficits, but a crisis in the cognitive and normative dimensions of the apparatus. Without cultural engineering to change the bureaucratic perspective and bind commitments through a rigid accountability system, PPRG risks continuing to be degraded to a mere "</w:t>
      </w:r>
      <w:r w:rsidRPr="000F487F">
        <w:rPr>
          <w:rFonts w:asciiTheme="majorHAnsi" w:hAnsiTheme="majorHAnsi"/>
          <w:i/>
          <w:iCs/>
        </w:rPr>
        <w:t>tick-box exercise</w:t>
      </w:r>
      <w:r w:rsidRPr="000F487F">
        <w:rPr>
          <w:rFonts w:asciiTheme="majorHAnsi" w:hAnsiTheme="majorHAnsi"/>
        </w:rPr>
        <w:t>" to maintain institutional legitimacy, moving away from its essence as an emancipatory instrument for coastal development.</w:t>
      </w:r>
    </w:p>
    <w:p w14:paraId="3EB0533E" w14:textId="72B048E1" w:rsidR="000F487F" w:rsidRPr="000F487F" w:rsidRDefault="00D67DE3" w:rsidP="000F487F">
      <w:pPr>
        <w:pStyle w:val="NormalWeb"/>
        <w:ind w:left="567" w:hanging="567"/>
        <w:jc w:val="both"/>
        <w:rPr>
          <w:rFonts w:asciiTheme="majorHAnsi" w:hAnsiTheme="majorHAnsi"/>
        </w:rPr>
      </w:pPr>
      <w:r>
        <w:rPr>
          <w:rFonts w:asciiTheme="majorHAnsi" w:hAnsiTheme="majorHAnsi"/>
          <w:b/>
          <w:bCs/>
        </w:rPr>
        <w:t>3</w:t>
      </w:r>
      <w:r w:rsidR="000F487F" w:rsidRPr="000F487F">
        <w:rPr>
          <w:rFonts w:asciiTheme="majorHAnsi" w:hAnsiTheme="majorHAnsi"/>
          <w:b/>
          <w:bCs/>
        </w:rPr>
        <w:t xml:space="preserve">.6 Systemic Implications and Threats </w:t>
      </w:r>
      <w:r w:rsidR="000F487F" w:rsidRPr="000F487F">
        <w:rPr>
          <w:rFonts w:asciiTheme="majorHAnsi" w:hAnsiTheme="majorHAnsi"/>
          <w:b/>
          <w:bCs/>
          <w:i/>
          <w:iCs/>
        </w:rPr>
        <w:t>of Gender Policy Evaporation</w:t>
      </w:r>
      <w:r w:rsidR="000F487F" w:rsidRPr="000F487F">
        <w:rPr>
          <w:rFonts w:asciiTheme="majorHAnsi" w:hAnsiTheme="majorHAnsi"/>
          <w:b/>
          <w:bCs/>
        </w:rPr>
        <w:t xml:space="preserve"> at the Grassroots Level</w:t>
      </w:r>
    </w:p>
    <w:p w14:paraId="4322E106" w14:textId="426B75D4"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The failure to transform the regulatory framework of the </w:t>
      </w:r>
      <w:proofErr w:type="spellStart"/>
      <w:r w:rsidRPr="000F487F">
        <w:rPr>
          <w:rFonts w:asciiTheme="majorHAnsi" w:hAnsiTheme="majorHAnsi"/>
        </w:rPr>
        <w:t>Donggala</w:t>
      </w:r>
      <w:proofErr w:type="spellEnd"/>
      <w:r w:rsidRPr="000F487F">
        <w:rPr>
          <w:rFonts w:asciiTheme="majorHAnsi" w:hAnsiTheme="majorHAnsi"/>
        </w:rPr>
        <w:t xml:space="preserve"> Regent Regulation Number 13 of 2024 into a governance praxis in </w:t>
      </w:r>
      <w:proofErr w:type="spellStart"/>
      <w:r w:rsidRPr="000F487F">
        <w:rPr>
          <w:rFonts w:asciiTheme="majorHAnsi" w:hAnsiTheme="majorHAnsi"/>
        </w:rPr>
        <w:t>Sirenja</w:t>
      </w:r>
      <w:proofErr w:type="spellEnd"/>
      <w:r w:rsidRPr="000F487F">
        <w:rPr>
          <w:rFonts w:asciiTheme="majorHAnsi" w:hAnsiTheme="majorHAnsi"/>
        </w:rPr>
        <w:t xml:space="preserve"> District has given birth to systemic implications that threaten the effectiveness of inclusive development. The reality of the field shows a real manifestation of what is conceptualized by </w:t>
      </w:r>
      <w:r w:rsidRPr="000F487F">
        <w:rPr>
          <w:rFonts w:asciiTheme="majorHAnsi" w:hAnsiTheme="majorHAnsi"/>
        </w:rPr>
        <w:fldChar w:fldCharType="begin"/>
      </w:r>
      <w:r w:rsidRPr="000F487F">
        <w:rPr>
          <w:rFonts w:asciiTheme="majorHAnsi" w:hAnsiTheme="majorHAnsi"/>
        </w:rPr>
        <w:instrText xml:space="preserve"> ADDIN ZOTERO_ITEM CSL_CITATION {"citationID":"O4VWEtNl","properties":{"formattedCitation":"(Paterson &amp; Scala, 2025)","plainCitation":"(Paterson &amp; Scala, 2025)","dontUpdate":true,"noteIndex":0},"citationItems":[{"id":102,"uris":["http://zotero.org/users/local/yobKiu6n/items/6ZDWB78Z"],"itemData":{"id":102,"type":"book","DOI":"https://doi.org/10.1007/978-3-030-90434-0_121-1","publisher":"Springer, Cham","title":"Gender-Mainstreaming in Public Policy","author":[{"family":"Paterson","given":"S"},{"family":"Scala","given":"F"}],"issued":{"date-parts":[["2025"]]}}}],"schema":"https://github.com/citation-style-language/schema/raw/master/csl-citation.json"}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Paterson &amp; Scala (2025)</w:t>
      </w:r>
      <w:r w:rsidRPr="000F487F">
        <w:rPr>
          <w:rFonts w:asciiTheme="majorHAnsi" w:hAnsiTheme="majorHAnsi"/>
        </w:rPr>
        <w:fldChar w:fldCharType="end"/>
      </w:r>
      <w:r w:rsidRPr="000F487F">
        <w:rPr>
          <w:rFonts w:asciiTheme="majorHAnsi" w:hAnsiTheme="majorHAnsi"/>
        </w:rPr>
        <w:t xml:space="preserve"> As </w:t>
      </w:r>
      <w:r w:rsidRPr="000F487F">
        <w:rPr>
          <w:rFonts w:asciiTheme="majorHAnsi" w:hAnsiTheme="majorHAnsi"/>
          <w:i/>
          <w:iCs/>
        </w:rPr>
        <w:t>gender policy evaporation</w:t>
      </w:r>
      <w:r w:rsidRPr="000F487F">
        <w:rPr>
          <w:rFonts w:asciiTheme="majorHAnsi" w:hAnsiTheme="majorHAnsi"/>
        </w:rPr>
        <w:t xml:space="preserve"> (evaporation of gender policy)</w:t>
      </w:r>
      <w:r w:rsidR="00D67DE3">
        <w:rPr>
          <w:rFonts w:asciiTheme="majorHAnsi" w:hAnsiTheme="majorHAnsi"/>
        </w:rPr>
        <w:t xml:space="preserve"> </w:t>
      </w:r>
      <w:r w:rsidRPr="000F487F">
        <w:rPr>
          <w:rFonts w:asciiTheme="majorHAnsi" w:hAnsiTheme="majorHAnsi"/>
        </w:rPr>
        <w:t>a condition in which macro commitments written progressively in legal documents slowly fade, lose meaning, and evaporate when relegated to the operational level due to the absence of adequate implementation infrastructure.</w:t>
      </w:r>
    </w:p>
    <w:p w14:paraId="2C1F7634"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The first fundamental implication boils down to the analytic vacuum (</w:t>
      </w:r>
      <w:r w:rsidRPr="000F487F">
        <w:rPr>
          <w:rFonts w:asciiTheme="majorHAnsi" w:hAnsiTheme="majorHAnsi"/>
          <w:i/>
          <w:iCs/>
        </w:rPr>
        <w:t>analytic void</w:t>
      </w:r>
      <w:r w:rsidRPr="000F487F">
        <w:rPr>
          <w:rFonts w:asciiTheme="majorHAnsi" w:hAnsiTheme="majorHAnsi"/>
        </w:rPr>
        <w:t xml:space="preserve">) in the heart of sub-district and village bureaucracy. Limitations of understanding </w:t>
      </w:r>
      <w:r w:rsidRPr="000F487F">
        <w:rPr>
          <w:rFonts w:asciiTheme="majorHAnsi" w:hAnsiTheme="majorHAnsi"/>
          <w:i/>
          <w:iCs/>
        </w:rPr>
        <w:t>Focal Point</w:t>
      </w:r>
      <w:r w:rsidRPr="000F487F">
        <w:rPr>
          <w:rFonts w:asciiTheme="majorHAnsi" w:hAnsiTheme="majorHAnsi"/>
        </w:rPr>
        <w:t xml:space="preserve"> PUG of technical instruments (GAP and GBS) proves that </w:t>
      </w:r>
      <w:r w:rsidRPr="000F487F">
        <w:rPr>
          <w:rFonts w:asciiTheme="majorHAnsi" w:hAnsiTheme="majorHAnsi"/>
          <w:i/>
          <w:iCs/>
        </w:rPr>
        <w:t>institutional gap</w:t>
      </w:r>
      <w:r w:rsidRPr="000F487F">
        <w:rPr>
          <w:rFonts w:asciiTheme="majorHAnsi" w:hAnsiTheme="majorHAnsi"/>
        </w:rPr>
        <w:t xml:space="preserve"> warned by </w:t>
      </w:r>
      <w:r w:rsidRPr="000F487F">
        <w:rPr>
          <w:rFonts w:asciiTheme="majorHAnsi" w:hAnsiTheme="majorHAnsi"/>
        </w:rPr>
        <w:fldChar w:fldCharType="begin"/>
      </w:r>
      <w:r w:rsidRPr="000F487F">
        <w:rPr>
          <w:rFonts w:asciiTheme="majorHAnsi" w:hAnsiTheme="majorHAnsi"/>
        </w:rPr>
        <w:instrText xml:space="preserve"> ADDIN ZOTERO_ITEM CSL_CITATION {"citationID":"iapMfsyV","properties":{"formattedCitation":"(Goetz, 1997)","plainCitation":"(Goetz, 1997)","dontUpdate":true,"noteIndex":0},"citationItems":[{"id":84,"uris":["http://zotero.org/users/local/yobKiu6n/items/MEEH6VGY"],"itemData":{"id":84,"type":"book","number-of-pages":"248","publisher":"Zed Books","publisher-place":"London","title":"Getting institutions right for women in development","author":[{"family":"Goetz","given":"A.M"}],"issued":{"date-parts":[["1997"]]}}}],"schema":"https://github.com/citation-style-language/schema/raw/master/csl-citation.json"}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Goetz (1997)</w:t>
      </w:r>
      <w:r w:rsidRPr="000F487F">
        <w:rPr>
          <w:rFonts w:asciiTheme="majorHAnsi" w:hAnsiTheme="majorHAnsi"/>
        </w:rPr>
        <w:fldChar w:fldCharType="end"/>
      </w:r>
      <w:r w:rsidRPr="000F487F">
        <w:rPr>
          <w:rFonts w:asciiTheme="majorHAnsi" w:hAnsiTheme="majorHAnsi"/>
        </w:rPr>
        <w:t xml:space="preserve"> is still being replicated. Absence </w:t>
      </w:r>
      <w:r w:rsidRPr="000F487F">
        <w:rPr>
          <w:rFonts w:asciiTheme="majorHAnsi" w:hAnsiTheme="majorHAnsi"/>
          <w:i/>
          <w:iCs/>
        </w:rPr>
        <w:t>gender analytic capacity</w:t>
      </w:r>
      <w:r w:rsidRPr="000F487F">
        <w:rPr>
          <w:rFonts w:asciiTheme="majorHAnsi" w:hAnsiTheme="majorHAnsi"/>
        </w:rPr>
        <w:t xml:space="preserve"> The Qualified </w:t>
      </w:r>
      <w:r w:rsidRPr="000F487F">
        <w:rPr>
          <w:rFonts w:asciiTheme="majorHAnsi" w:hAnsiTheme="majorHAnsi"/>
        </w:rPr>
        <w:fldChar w:fldCharType="begin"/>
      </w:r>
      <w:r w:rsidRPr="000F487F">
        <w:rPr>
          <w:rFonts w:asciiTheme="majorHAnsi" w:hAnsiTheme="majorHAnsi"/>
        </w:rPr>
        <w:instrText xml:space="preserve"> ADDIN ZOTERO_ITEM CSL_CITATION {"citationID":"hEH8JRea","properties":{"formattedCitation":"(Moser, 1993)","plainCitation":"(Moser, 1993)","noteIndex":0},"citationItems":[{"id":82,"uris":["http://zotero.org/users/local/yobKiu6n/items/7G94GZBT"],"itemData":{"id":82,"type":"article-journal","DOI":"http://dx.doi.org/10.4324/9780203411940","publisher":"Routledge","publisher-place":"London","title":"Gender Planning and Development: Theory, Practice, and Training","author":[{"family":"Moser","given":"C.O.N"}],"issued":{"date-parts":[["1993"]]}}}],"schema":"https://github.com/citation-style-language/schema/raw/master/csl-citation.json"}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(Moser, 1993)</w:t>
      </w:r>
      <w:r w:rsidRPr="000F487F">
        <w:rPr>
          <w:rFonts w:asciiTheme="majorHAnsi" w:hAnsiTheme="majorHAnsi"/>
        </w:rPr>
        <w:fldChar w:fldCharType="end"/>
      </w:r>
      <w:r w:rsidRPr="000F487F">
        <w:rPr>
          <w:rFonts w:asciiTheme="majorHAnsi" w:hAnsiTheme="majorHAnsi"/>
        </w:rPr>
        <w:t xml:space="preserve">, the apparatus fails to dissect the intersectionality of the practical and strategic needs of the community. As a result, gender issues have failed to be mainstreamed in the Village and Sub-district Government Work Plan (RKP). This condition is in line with the findings </w:t>
      </w:r>
      <w:r w:rsidRPr="000F487F">
        <w:rPr>
          <w:rFonts w:asciiTheme="majorHAnsi" w:hAnsiTheme="majorHAnsi"/>
        </w:rPr>
        <w:fldChar w:fldCharType="begin"/>
      </w:r>
      <w:r w:rsidRPr="000F487F">
        <w:rPr>
          <w:rFonts w:asciiTheme="majorHAnsi" w:hAnsiTheme="majorHAnsi"/>
        </w:rPr>
        <w:instrText xml:space="preserve"> ADDIN ZOTERO_ITEM CSL_CITATION {"citationID":"QrL7VkXV","properties":{"formattedCitation":"(Lombardo &amp; Meier, 2022)","plainCitation":"(Lombardo &amp; Meier, 2022)","dontUpdate":true,"noteIndex":0},"citationItems":[{"id":98,"uris":["http://zotero.org/users/local/yobKiu6n/items/QKAJKCIN"],"itemData":{"id":98,"type":"article-journal","DOI":"10.1332/030557321X16309516650101","page":"99-115","publisher":"Policy &amp; Politics","title":"Challenging boundaries to expand frontiers in gender and policy studies","volume":"50(1)","author":[{"family":"Lombardo","given":"E"},{"family":"Meier","given":"P"}],"issued":{"date-parts":[["2022"]]}}}],"schema":"https://github.com/citation-style-language/schema/raw/master/csl-citation.json"}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Lombardo &amp; Meier (2022)</w:t>
      </w:r>
      <w:r w:rsidRPr="000F487F">
        <w:rPr>
          <w:rFonts w:asciiTheme="majorHAnsi" w:hAnsiTheme="majorHAnsi"/>
        </w:rPr>
        <w:fldChar w:fldCharType="end"/>
      </w:r>
      <w:r w:rsidRPr="000F487F">
        <w:rPr>
          <w:rFonts w:asciiTheme="majorHAnsi" w:hAnsiTheme="majorHAnsi"/>
        </w:rPr>
        <w:t xml:space="preserve"> which confirms that without sharp analytical literacy, frontline bureaucrats tend to reduce gender policies to mere formalities without triggering a real redistribution of resources.</w:t>
      </w:r>
    </w:p>
    <w:p w14:paraId="4E066642"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Second, this policy dissonance has a direct impact on the bias of basic service governance, especially in the education sector. The findings in </w:t>
      </w:r>
      <w:proofErr w:type="spellStart"/>
      <w:r w:rsidRPr="000F487F">
        <w:rPr>
          <w:rFonts w:asciiTheme="majorHAnsi" w:hAnsiTheme="majorHAnsi"/>
        </w:rPr>
        <w:t>Sirenja</w:t>
      </w:r>
      <w:proofErr w:type="spellEnd"/>
      <w:r w:rsidRPr="000F487F">
        <w:rPr>
          <w:rFonts w:asciiTheme="majorHAnsi" w:hAnsiTheme="majorHAnsi"/>
        </w:rPr>
        <w:t xml:space="preserve"> reveal unanticipated spatial vulnerabilities and double burdens, such as the placement of female teachers in remote areas prone to disasters without structural security support, as well as the lack of institutional protection interventions for female principals. This phenomenon proves the absence of sensitivity </w:t>
      </w:r>
      <w:r w:rsidRPr="000F487F">
        <w:rPr>
          <w:rFonts w:asciiTheme="majorHAnsi" w:hAnsiTheme="majorHAnsi"/>
          <w:i/>
          <w:iCs/>
        </w:rPr>
        <w:t>gender-responsive public service</w:t>
      </w:r>
      <w:r w:rsidRPr="000F487F">
        <w:rPr>
          <w:rFonts w:asciiTheme="majorHAnsi" w:hAnsiTheme="majorHAnsi"/>
        </w:rPr>
        <w:t xml:space="preserve">. Based on analysis </w:t>
      </w:r>
      <w:r w:rsidRPr="000F487F">
        <w:rPr>
          <w:rFonts w:asciiTheme="majorHAnsi" w:hAnsiTheme="majorHAnsi"/>
        </w:rPr>
        <w:fldChar w:fldCharType="begin"/>
      </w:r>
      <w:r w:rsidRPr="000F487F">
        <w:rPr>
          <w:rFonts w:asciiTheme="majorHAnsi" w:hAnsiTheme="majorHAnsi"/>
        </w:rPr>
        <w:instrText xml:space="preserve"> ADDIN ZOTERO_ITEM CSL_CITATION {"citationID":"X0LhqGe7","properties":{"formattedCitation":"(Nazneen, &amp; Okech, 2021)","plainCitation":"(Nazneen, &amp; Okech, 2021)","dontUpdate":true,"noteIndex":0},"citationItems":[{"id":103,"uris":["http://zotero.org/users/local/yobKiu6n/items/MJW94P6Q"],"itemData":{"id":103,"type":"article-journal","container-title":"Journal contribution","publisher":"The Institute of Development Studies and Partner Organisations","title":"Introduction: Feminist Protests and Politics in a World in Crisis","URL":"https://hdl.handle.net/20.500.12413/17051","author":[{"family":"Nazneen,","given":"Sohela"},{"family":"Okech","given":"Awino"}],"issued":{"date-parts":[["2021"]]}}}],"schema":"https://github.com/citation-style-language/schema/raw/master/csl-citation.json"}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Nazneen, &amp; Okech (2021)</w:t>
      </w:r>
      <w:r w:rsidRPr="000F487F">
        <w:rPr>
          <w:rFonts w:asciiTheme="majorHAnsi" w:hAnsiTheme="majorHAnsi"/>
        </w:rPr>
        <w:fldChar w:fldCharType="end"/>
      </w:r>
      <w:r w:rsidRPr="000F487F">
        <w:rPr>
          <w:rFonts w:asciiTheme="majorHAnsi" w:hAnsiTheme="majorHAnsi"/>
        </w:rPr>
        <w:t xml:space="preserve"> regarding the intersectionality of inequality, pseudo-neutrality in the policy of rotation and placement of local education human resources actually reproduces new vulnerabilities, violating the principle of balance of benefits mandated by the UN Women framework.</w:t>
      </w:r>
    </w:p>
    <w:p w14:paraId="668DC2BF"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Third, and most crucially, is the impact of the clash between the formal policies of the state and the hegemony of informal (cultural) institutions. The absence of a gender perspective at the bureaucratic level provides space for the perpetuation of patriarchal norms in the structure of Customary Institutions. Informal judicial processes related to the resolution of cases of domestic violence or family conflict that are executed exclusively by men, without female representation, create an oppressive and male-biased judicial space. From perspective </w:t>
      </w:r>
      <w:r w:rsidRPr="000F487F">
        <w:rPr>
          <w:rFonts w:asciiTheme="majorHAnsi" w:hAnsiTheme="majorHAnsi"/>
          <w:i/>
          <w:iCs/>
        </w:rPr>
        <w:t>Feminist Institutionalism</w:t>
      </w:r>
      <w:r w:rsidRPr="000F487F">
        <w:rPr>
          <w:rFonts w:asciiTheme="majorHAnsi" w:hAnsiTheme="majorHAnsi"/>
        </w:rPr>
        <w:t xml:space="preserve">, </w:t>
      </w:r>
      <w:r w:rsidRPr="000F487F">
        <w:rPr>
          <w:rFonts w:asciiTheme="majorHAnsi" w:hAnsiTheme="majorHAnsi"/>
        </w:rPr>
        <w:fldChar w:fldCharType="begin"/>
      </w:r>
      <w:r w:rsidRPr="000F487F">
        <w:rPr>
          <w:rFonts w:asciiTheme="majorHAnsi" w:hAnsiTheme="majorHAnsi"/>
        </w:rPr>
        <w:instrText xml:space="preserve"> ADDIN ZOTERO_ITEM CSL_CITATION {"citationID":"oKFJHmSK","properties":{"formattedCitation":"(Bjarneg\\uc0\\u229{}rd, 2013)","plainCitation":"(Bjarnegård, 2013)","dontUpdate":true,"noteIndex":0},"citationItems":[{"id":104,"uris":["http://zotero.org/users/local/yobKiu6n/items/D6S6AJGU"],"itemData":{"id":104,"type":"book","DOI":"10.1057/9781137296740.","title":"Gender, Informal Institutions and Political Recruitment. Explaining Male Dominance in Parliamentary Representation","author":[{"family":"Bjarnegård,","given":"Elin"}],"issued":{"date-parts":[["2013"]]}}}],"schema":"https://github.com/citation-style-language/schema/raw/master/csl-citation.json"} </w:instrText>
      </w:r>
      <w:r w:rsidRPr="000F487F">
        <w:rPr>
          <w:rFonts w:asciiTheme="majorHAnsi" w:hAnsiTheme="majorHAnsi"/>
        </w:rPr>
        <w:fldChar w:fldCharType="separate"/>
      </w:r>
      <w:r w:rsidRPr="000F487F">
        <w:rPr>
          <w:rFonts w:asciiTheme="majorHAnsi" w:hAnsiTheme="majorHAnsi"/>
          <w:szCs w:val="40"/>
        </w:rPr>
        <w:t>Bjarnegård (2013)</w:t>
      </w:r>
      <w:r w:rsidRPr="000F487F">
        <w:rPr>
          <w:rFonts w:asciiTheme="majorHAnsi" w:hAnsiTheme="majorHAnsi"/>
        </w:rPr>
        <w:fldChar w:fldCharType="end"/>
      </w:r>
      <w:r w:rsidRPr="000F487F">
        <w:rPr>
          <w:rFonts w:asciiTheme="majorHAnsi" w:hAnsiTheme="majorHAnsi"/>
        </w:rPr>
        <w:t xml:space="preserve"> explains that when formal institutions (such as district governments) are weak in overseeing the gender agenda, patriarchal informal rules will take over (</w:t>
      </w:r>
      <w:r w:rsidRPr="000F487F">
        <w:rPr>
          <w:rFonts w:asciiTheme="majorHAnsi" w:hAnsiTheme="majorHAnsi"/>
          <w:i/>
          <w:iCs/>
        </w:rPr>
        <w:t>override</w:t>
      </w:r>
      <w:r w:rsidRPr="000F487F">
        <w:rPr>
          <w:rFonts w:asciiTheme="majorHAnsi" w:hAnsiTheme="majorHAnsi"/>
        </w:rPr>
        <w:t xml:space="preserve">) governance space, </w:t>
      </w:r>
      <w:r w:rsidRPr="000F487F">
        <w:rPr>
          <w:rFonts w:asciiTheme="majorHAnsi" w:hAnsiTheme="majorHAnsi"/>
        </w:rPr>
        <w:lastRenderedPageBreak/>
        <w:t xml:space="preserve">vetoing women's rights, and undermining the principle of governance inclusivity </w:t>
      </w:r>
      <w:r w:rsidRPr="000F487F">
        <w:rPr>
          <w:rFonts w:asciiTheme="majorHAnsi" w:hAnsiTheme="majorHAnsi"/>
        </w:rPr>
        <w:fldChar w:fldCharType="begin"/>
      </w:r>
      <w:r w:rsidRPr="000F487F">
        <w:rPr>
          <w:rFonts w:asciiTheme="majorHAnsi" w:hAnsiTheme="majorHAnsi"/>
        </w:rPr>
        <w:instrText xml:space="preserve"> ADDIN ZOTERO_ITEM CSL_CITATION {"citationID":"tGPyU4ZY","properties":{"formattedCitation":"(Pierre &amp; Peters, 2000)","plainCitation":"(Pierre &amp; Peters, 2000)","noteIndex":0},"citationItems":[{"id":88,"uris":["http://zotero.org/users/local/yobKiu6n/items/M9ZV5SIU"],"itemData":{"id":88,"type":"book","publisher":"Macmillan Press","title":"Governance, politics and the state","author":[{"family":"Pierre","given":"J"},{"family":"Peters","given":"B.G"}],"issued":{"date-parts":[["2000"]]}}}],"schema":"https://github.com/citation-style-language/schema/raw/master/csl-citation.json"}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(Pierre &amp; Peters, 2000)</w:t>
      </w:r>
      <w:r w:rsidRPr="000F487F">
        <w:rPr>
          <w:rFonts w:asciiTheme="majorHAnsi" w:hAnsiTheme="majorHAnsi"/>
        </w:rPr>
        <w:fldChar w:fldCharType="end"/>
      </w:r>
      <w:r w:rsidRPr="000F487F">
        <w:rPr>
          <w:rFonts w:asciiTheme="majorHAnsi" w:hAnsiTheme="majorHAnsi"/>
        </w:rPr>
        <w:t>.</w:t>
      </w:r>
    </w:p>
    <w:p w14:paraId="6775123E"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Fourth, sustainability threats also overshadow initiatives to protect women and children at the site level. The emergence of local innovations such as the establishment of the Women and Children Protection Task Force (PPA Task Force) in </w:t>
      </w:r>
      <w:proofErr w:type="spellStart"/>
      <w:r w:rsidRPr="000F487F">
        <w:rPr>
          <w:rFonts w:asciiTheme="majorHAnsi" w:hAnsiTheme="majorHAnsi"/>
        </w:rPr>
        <w:t>Tompe</w:t>
      </w:r>
      <w:proofErr w:type="spellEnd"/>
      <w:r w:rsidRPr="000F487F">
        <w:rPr>
          <w:rFonts w:asciiTheme="majorHAnsi" w:hAnsiTheme="majorHAnsi"/>
        </w:rPr>
        <w:t xml:space="preserve"> Village is at risk of withering before developing due to its status as </w:t>
      </w:r>
      <w:proofErr w:type="gramStart"/>
      <w:r w:rsidRPr="000F487F">
        <w:rPr>
          <w:rFonts w:asciiTheme="majorHAnsi" w:hAnsiTheme="majorHAnsi"/>
        </w:rPr>
        <w:t>a</w:t>
      </w:r>
      <w:proofErr w:type="gramEnd"/>
      <w:r w:rsidRPr="000F487F">
        <w:rPr>
          <w:rFonts w:asciiTheme="majorHAnsi" w:hAnsiTheme="majorHAnsi"/>
        </w:rPr>
        <w:t xml:space="preserve"> </w:t>
      </w:r>
      <w:r w:rsidRPr="000F487F">
        <w:rPr>
          <w:rFonts w:asciiTheme="majorHAnsi" w:hAnsiTheme="majorHAnsi"/>
          <w:i/>
          <w:iCs/>
        </w:rPr>
        <w:t>unfunded mandate</w:t>
      </w:r>
      <w:r w:rsidRPr="000F487F">
        <w:rPr>
          <w:rFonts w:asciiTheme="majorHAnsi" w:hAnsiTheme="majorHAnsi"/>
        </w:rPr>
        <w:t xml:space="preserve"> (mandate without funding). In the absence of binding operational guidelines and the absence of an injection of the Village Revenue and Expenditure Budget (</w:t>
      </w:r>
      <w:proofErr w:type="spellStart"/>
      <w:r w:rsidRPr="000F487F">
        <w:rPr>
          <w:rFonts w:asciiTheme="majorHAnsi" w:hAnsiTheme="majorHAnsi"/>
        </w:rPr>
        <w:t>APBDes</w:t>
      </w:r>
      <w:proofErr w:type="spellEnd"/>
      <w:r w:rsidRPr="000F487F">
        <w:rPr>
          <w:rFonts w:asciiTheme="majorHAnsi" w:hAnsiTheme="majorHAnsi"/>
        </w:rPr>
        <w:t>), such initiatives rely only on voluntary work that is vulnerable to mass burnout (</w:t>
      </w:r>
      <w:r w:rsidRPr="000F487F">
        <w:rPr>
          <w:rFonts w:asciiTheme="majorHAnsi" w:hAnsiTheme="majorHAnsi"/>
          <w:i/>
          <w:iCs/>
        </w:rPr>
        <w:t>volunteer exhaustion</w:t>
      </w:r>
      <w:r w:rsidRPr="000F487F">
        <w:rPr>
          <w:rFonts w:asciiTheme="majorHAnsi" w:hAnsiTheme="majorHAnsi"/>
        </w:rPr>
        <w:t xml:space="preserve">). These findings empirically validate that gender innovation without a permanent fiscal architecture would only be a ceremonial display that is not </w:t>
      </w:r>
      <w:r w:rsidRPr="000F487F">
        <w:rPr>
          <w:rFonts w:asciiTheme="majorHAnsi" w:hAnsiTheme="majorHAnsi"/>
          <w:i/>
          <w:iCs/>
        </w:rPr>
        <w:t xml:space="preserve">sustainable </w:t>
      </w:r>
      <w:r w:rsidRPr="000F487F">
        <w:rPr>
          <w:rFonts w:asciiTheme="majorHAnsi" w:hAnsiTheme="majorHAnsi"/>
          <w:i/>
          <w:iCs/>
        </w:rPr>
        <w:fldChar w:fldCharType="begin"/>
      </w:r>
      <w:r w:rsidRPr="000F487F">
        <w:rPr>
          <w:rFonts w:asciiTheme="majorHAnsi" w:hAnsiTheme="majorHAnsi"/>
          <w:i/>
          <w:iCs/>
        </w:rPr>
        <w:instrText xml:space="preserve"> ADDIN ZOTERO_ITEM CSL_CITATION {"citationID":"qf09F3XR","properties":{"formattedCitation":"(Syukri, 2021)","plainCitation":"(Syukri, 2021)","noteIndex":0},"citationItems":[{"id":105,"uris":["http://zotero.org/users/local/yobKiu6n/items/J692JS9S"],"itemData":{"id":105,"type":"book","publisher":"Smeru Research Institute","publisher-place":"Jakarta","title":"Gender Equality in Indonesian New Developmental State: The Case of the New Participatory Village Governance","author":[{"family":"Syukri","given":"Muhammad"}],"issued":{"date-parts":[["2021"]]}}}],"schema":"https://github.com/citation-style-language/schema/raw/master/csl-citation.json"} </w:instrText>
      </w:r>
      <w:r w:rsidRPr="000F487F">
        <w:rPr>
          <w:rFonts w:asciiTheme="majorHAnsi" w:hAnsiTheme="majorHAnsi"/>
          <w:i/>
          <w:iCs/>
        </w:rPr>
        <w:fldChar w:fldCharType="separate"/>
      </w:r>
      <w:r w:rsidRPr="000F487F">
        <w:rPr>
          <w:rFonts w:asciiTheme="majorHAnsi" w:hAnsiTheme="majorHAnsi"/>
          <w:i/>
          <w:iCs/>
          <w:noProof/>
        </w:rPr>
        <w:t>(Syukri, 2021)</w:t>
      </w:r>
      <w:r w:rsidRPr="000F487F">
        <w:rPr>
          <w:rFonts w:asciiTheme="majorHAnsi" w:hAnsiTheme="majorHAnsi"/>
          <w:i/>
          <w:iCs/>
        </w:rPr>
        <w:fldChar w:fldCharType="end"/>
      </w:r>
      <w:r w:rsidRPr="000F487F">
        <w:rPr>
          <w:rFonts w:asciiTheme="majorHAnsi" w:hAnsiTheme="majorHAnsi"/>
        </w:rPr>
        <w:t>.</w:t>
      </w:r>
    </w:p>
    <w:p w14:paraId="1149D434"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Fifth, there is irony in the success of the decline convergence program </w:t>
      </w:r>
      <w:r w:rsidRPr="000F487F">
        <w:rPr>
          <w:rFonts w:asciiTheme="majorHAnsi" w:hAnsiTheme="majorHAnsi"/>
          <w:i/>
          <w:iCs/>
        </w:rPr>
        <w:t>stunting</w:t>
      </w:r>
      <w:r w:rsidRPr="000F487F">
        <w:rPr>
          <w:rFonts w:asciiTheme="majorHAnsi" w:hAnsiTheme="majorHAnsi"/>
        </w:rPr>
        <w:t xml:space="preserve"> in </w:t>
      </w:r>
      <w:proofErr w:type="spellStart"/>
      <w:r w:rsidRPr="000F487F">
        <w:rPr>
          <w:rFonts w:asciiTheme="majorHAnsi" w:hAnsiTheme="majorHAnsi"/>
        </w:rPr>
        <w:t>Sirenja</w:t>
      </w:r>
      <w:proofErr w:type="spellEnd"/>
      <w:r w:rsidRPr="000F487F">
        <w:rPr>
          <w:rFonts w:asciiTheme="majorHAnsi" w:hAnsiTheme="majorHAnsi"/>
        </w:rPr>
        <w:t xml:space="preserve">. On the one hand, this program proves that women (Human Development Cadres / KPM) are the main driving force of the grassroots bureaucracy. But on the other hand, this achievement has not been converted into a political modality to raise women's bargaining positions in the </w:t>
      </w:r>
      <w:proofErr w:type="spellStart"/>
      <w:r w:rsidRPr="000F487F">
        <w:rPr>
          <w:rFonts w:asciiTheme="majorHAnsi" w:hAnsiTheme="majorHAnsi"/>
        </w:rPr>
        <w:t>Musrenbang</w:t>
      </w:r>
      <w:proofErr w:type="spellEnd"/>
      <w:r w:rsidRPr="000F487F">
        <w:rPr>
          <w:rFonts w:asciiTheme="majorHAnsi" w:hAnsiTheme="majorHAnsi"/>
        </w:rPr>
        <w:t xml:space="preserve">. </w:t>
      </w:r>
      <w:r w:rsidRPr="000F487F">
        <w:rPr>
          <w:rFonts w:asciiTheme="majorHAnsi" w:hAnsiTheme="majorHAnsi"/>
        </w:rPr>
        <w:fldChar w:fldCharType="begin"/>
      </w:r>
      <w:r w:rsidRPr="000F487F">
        <w:rPr>
          <w:rFonts w:asciiTheme="majorHAnsi" w:hAnsiTheme="majorHAnsi"/>
        </w:rPr>
        <w:instrText xml:space="preserve"> ADDIN ZOTERO_ITEM CSL_CITATION {"citationID":"tPKHicdh","properties":{"formattedCitation":"(Nillesen dkk., 2021)","plainCitation":"(Nillesen dkk., 2021)","noteIndex":0},"citationItems":[{"id":60,"uris":["http://zotero.org/users/local/yobKiu6n/items/GSCZQF7C"],"itemData":{"id":60,"type":"article-journal","abstract":"In many regions of the world, significant parts of society are persistently unsupportive of female empowerment. The role of women is often still defined by social norms, rather than legal rights, hampering economic development. Women’s empowerment has therefore become a top priority on development agendas, also testified by an increasing number of policy interventions aiming to promote gender equality. To monitor progress in this area we need reliable data on gender attitudes. However, standard self-reported measures of gender attitudes are prone to a wide range of measurement errors and social desirability bias. In this paper we address this problem and use a new field application of the implicit association test (IAT), next to a set of standard survey questions, to measure implicit gender attitudes in Tunisia. Implicit attitudes are considered less susceptible to measurement bias and may serve to more accurately assess gender attitudes. Further, we examine the malleability of implicit gender attitudes using a randomized video intervention illustrating real-life gender reforms in Tunisia, and natural variation in interviewer characteristics with respect to gender and perceived religiosity. Our study finds that the video has no average impact on implicit (IAT-based) attitudes, which is consistent with the idea that in a highly polarized society like Tunisia such an intervention only affects specific groups in a society. We indeed find that the video mitigates the implicit gender bias only among the specific subpopulation of conservative women. We also confirm the presence of interviewer effects. Yet, impacts are more pronounced for explicit attitudes, which may suggest social desirability at work in surveys. We believe that our study may inform policymakers on the potential power of light interventions and helps improve measurements related to gender norms and attitudes.","container-title":"World Development","DOI":"10.1016/j.worlddev.2020.105263","ISSN":"0305-750X","journalAbbreviation":"World Development","page":"105263","title":"On the malleability of gender attitudes: Evidence from implicit and explicit measures in Tunisia","volume":"138","author":[{"family":"Nillesen","given":"Eleonora"},{"family":"Grimm","given":"Michael"},{"family":"Goedhuys","given":"Micheline"},{"family":"Reitmann","given":"Ann-Kristin"},{"family":"Meysonnat","given":"Aline"}],"issued":{"date-parts":[["2021",2,1]]}}}],"schema":"https://github.com/citation-style-language/schema/raw/master/csl-citation.json"} </w:instrText>
      </w:r>
      <w:r w:rsidRPr="000F487F">
        <w:rPr>
          <w:rFonts w:asciiTheme="majorHAnsi" w:hAnsiTheme="majorHAnsi"/>
        </w:rPr>
        <w:fldChar w:fldCharType="separate"/>
      </w:r>
      <w:r w:rsidRPr="000F487F">
        <w:rPr>
          <w:rFonts w:asciiTheme="majorHAnsi" w:hAnsiTheme="majorHAnsi"/>
          <w:noProof/>
        </w:rPr>
        <w:t>Nillesen dkk., (2021)</w:t>
      </w:r>
      <w:r w:rsidRPr="000F487F">
        <w:rPr>
          <w:rFonts w:asciiTheme="majorHAnsi" w:hAnsiTheme="majorHAnsi"/>
        </w:rPr>
        <w:fldChar w:fldCharType="end"/>
      </w:r>
      <w:r w:rsidRPr="000F487F">
        <w:rPr>
          <w:rFonts w:asciiTheme="majorHAnsi" w:hAnsiTheme="majorHAnsi"/>
        </w:rPr>
        <w:t xml:space="preserve"> criticizing this phenomenon as "depletion through social reproduction" (</w:t>
      </w:r>
      <w:r w:rsidRPr="000F487F">
        <w:rPr>
          <w:rFonts w:asciiTheme="majorHAnsi" w:hAnsiTheme="majorHAnsi"/>
          <w:i/>
          <w:iCs/>
        </w:rPr>
        <w:t>depletion through social reproduction</w:t>
      </w:r>
      <w:r w:rsidRPr="000F487F">
        <w:rPr>
          <w:rFonts w:asciiTheme="majorHAnsi" w:hAnsiTheme="majorHAnsi"/>
        </w:rPr>
        <w:t xml:space="preserve">), where the state </w:t>
      </w:r>
      <w:proofErr w:type="spellStart"/>
      <w:r w:rsidRPr="000F487F">
        <w:rPr>
          <w:rFonts w:asciiTheme="majorHAnsi" w:hAnsiTheme="majorHAnsi"/>
        </w:rPr>
        <w:t>intrusibly</w:t>
      </w:r>
      <w:proofErr w:type="spellEnd"/>
      <w:r w:rsidRPr="000F487F">
        <w:rPr>
          <w:rFonts w:asciiTheme="majorHAnsi" w:hAnsiTheme="majorHAnsi"/>
        </w:rPr>
        <w:t xml:space="preserve"> instrumentalizes women's energy and time (as unpaid or low-paid cadres) to succeed in national development targets, but the state refuses to empower them strategically at the policy formulation table.</w:t>
      </w:r>
    </w:p>
    <w:p w14:paraId="585E9625" w14:textId="77777777" w:rsidR="000F487F" w:rsidRPr="000F487F" w:rsidRDefault="000F487F" w:rsidP="000F487F">
      <w:pPr>
        <w:pStyle w:val="NormalWeb"/>
        <w:ind w:firstLine="426"/>
        <w:jc w:val="both"/>
        <w:rPr>
          <w:rFonts w:asciiTheme="majorHAnsi" w:hAnsiTheme="majorHAnsi"/>
        </w:rPr>
      </w:pPr>
      <w:r w:rsidRPr="000F487F">
        <w:rPr>
          <w:rFonts w:asciiTheme="majorHAnsi" w:hAnsiTheme="majorHAnsi"/>
        </w:rPr>
        <w:t xml:space="preserve">Comprehensively, the anatomy of the problem in </w:t>
      </w:r>
      <w:proofErr w:type="spellStart"/>
      <w:r w:rsidRPr="000F487F">
        <w:rPr>
          <w:rFonts w:asciiTheme="majorHAnsi" w:hAnsiTheme="majorHAnsi"/>
        </w:rPr>
        <w:t>Sirenja</w:t>
      </w:r>
      <w:proofErr w:type="spellEnd"/>
      <w:r w:rsidRPr="000F487F">
        <w:rPr>
          <w:rFonts w:asciiTheme="majorHAnsi" w:hAnsiTheme="majorHAnsi"/>
        </w:rPr>
        <w:t xml:space="preserve"> District proves that Gender Responsive Development Planning cannot rely solely on regulatory legitimacy. The </w:t>
      </w:r>
      <w:proofErr w:type="gramStart"/>
      <w:r w:rsidRPr="000F487F">
        <w:rPr>
          <w:rFonts w:asciiTheme="majorHAnsi" w:hAnsiTheme="majorHAnsi"/>
        </w:rPr>
        <w:t>threat  of</w:t>
      </w:r>
      <w:proofErr w:type="gramEnd"/>
      <w:r w:rsidRPr="000F487F">
        <w:rPr>
          <w:rFonts w:asciiTheme="majorHAnsi" w:hAnsiTheme="majorHAnsi"/>
        </w:rPr>
        <w:t xml:space="preserve"> </w:t>
      </w:r>
      <w:r w:rsidRPr="000F487F">
        <w:rPr>
          <w:rFonts w:asciiTheme="majorHAnsi" w:hAnsiTheme="majorHAnsi"/>
          <w:i/>
          <w:iCs/>
        </w:rPr>
        <w:t>gender policy evaporation</w:t>
      </w:r>
      <w:r w:rsidRPr="000F487F">
        <w:rPr>
          <w:rFonts w:asciiTheme="majorHAnsi" w:hAnsiTheme="majorHAnsi"/>
        </w:rPr>
        <w:t xml:space="preserve"> can only be prevented through systemic engineering that combines increasing the technocratic literacy of the apparatus, definitive budget interventions, and participatory cultural deconstruction. Without synchronization between the three pillars, the PUG mandate will only freeze on paper the Regent's Regulation, failing to transform into a living space justice for vulnerable groups in coastal areas.</w:t>
      </w:r>
    </w:p>
    <w:p w14:paraId="4D6ADFC1" w14:textId="77777777" w:rsidR="000F1938" w:rsidRDefault="000F1938">
      <w:pPr>
        <w:pBdr>
          <w:top w:val="nil"/>
          <w:left w:val="nil"/>
          <w:bottom w:val="nil"/>
          <w:right w:val="nil"/>
          <w:between w:val="nil"/>
        </w:pBdr>
        <w:ind w:left="284"/>
        <w:jc w:val="both"/>
        <w:rPr>
          <w:rFonts w:ascii="Lustria" w:eastAsia="Lustria" w:hAnsi="Lustria" w:cs="Lustria"/>
          <w:color w:val="000000"/>
        </w:rPr>
      </w:pPr>
    </w:p>
    <w:p w14:paraId="1816C9B4" w14:textId="77777777" w:rsidR="000F1938" w:rsidRDefault="00000000">
      <w:pPr>
        <w:numPr>
          <w:ilvl w:val="0"/>
          <w:numId w:val="1"/>
        </w:numPr>
        <w:pBdr>
          <w:top w:val="nil"/>
          <w:left w:val="nil"/>
          <w:bottom w:val="nil"/>
          <w:right w:val="nil"/>
          <w:between w:val="nil"/>
        </w:pBdr>
        <w:spacing w:after="160" w:line="259" w:lineRule="auto"/>
        <w:ind w:left="426" w:hanging="426"/>
        <w:jc w:val="both"/>
        <w:rPr>
          <w:rFonts w:ascii="Lustria" w:eastAsia="Lustria" w:hAnsi="Lustria" w:cs="Lustria"/>
          <w:b/>
          <w:color w:val="000000"/>
        </w:rPr>
      </w:pPr>
      <w:r>
        <w:rPr>
          <w:rFonts w:ascii="Lustria" w:eastAsia="Lustria" w:hAnsi="Lustria" w:cs="Lustria"/>
          <w:b/>
          <w:color w:val="000000"/>
        </w:rPr>
        <w:t>Conclusion</w:t>
      </w:r>
    </w:p>
    <w:p w14:paraId="1300A397" w14:textId="77777777" w:rsidR="00B86202" w:rsidRPr="00B86202" w:rsidRDefault="00B86202" w:rsidP="00B86202">
      <w:pPr>
        <w:pStyle w:val="NormalWeb"/>
        <w:ind w:firstLine="426"/>
        <w:jc w:val="both"/>
        <w:rPr>
          <w:rFonts w:asciiTheme="majorHAnsi" w:hAnsiTheme="majorHAnsi"/>
        </w:rPr>
      </w:pPr>
      <w:r w:rsidRPr="00B86202">
        <w:rPr>
          <w:rFonts w:asciiTheme="majorHAnsi" w:hAnsiTheme="majorHAnsi"/>
        </w:rPr>
        <w:t xml:space="preserve">This study concludes that the implementation of Gender Responsive Development Planning (PPRG) in </w:t>
      </w:r>
      <w:proofErr w:type="spellStart"/>
      <w:r w:rsidRPr="00B86202">
        <w:rPr>
          <w:rFonts w:asciiTheme="majorHAnsi" w:hAnsiTheme="majorHAnsi"/>
        </w:rPr>
        <w:t>Sirenja</w:t>
      </w:r>
      <w:proofErr w:type="spellEnd"/>
      <w:r w:rsidRPr="00B86202">
        <w:rPr>
          <w:rFonts w:asciiTheme="majorHAnsi" w:hAnsiTheme="majorHAnsi"/>
        </w:rPr>
        <w:t xml:space="preserve"> District represents </w:t>
      </w:r>
      <w:proofErr w:type="gramStart"/>
      <w:r w:rsidRPr="00B86202">
        <w:rPr>
          <w:rFonts w:asciiTheme="majorHAnsi" w:hAnsiTheme="majorHAnsi"/>
        </w:rPr>
        <w:t>a  persistent</w:t>
      </w:r>
      <w:proofErr w:type="gramEnd"/>
      <w:r w:rsidRPr="00B86202">
        <w:rPr>
          <w:rFonts w:asciiTheme="majorHAnsi" w:hAnsiTheme="majorHAnsi"/>
        </w:rPr>
        <w:t xml:space="preserve"> </w:t>
      </w:r>
      <w:r w:rsidRPr="00B86202">
        <w:rPr>
          <w:rFonts w:asciiTheme="majorHAnsi" w:hAnsiTheme="majorHAnsi"/>
          <w:i/>
          <w:iCs/>
        </w:rPr>
        <w:t>phenomenon of institutional decoupling</w:t>
      </w:r>
      <w:r w:rsidRPr="00B86202">
        <w:rPr>
          <w:rFonts w:asciiTheme="majorHAnsi" w:hAnsiTheme="majorHAnsi"/>
        </w:rPr>
        <w:t xml:space="preserve"> in the decentralization of local governance. Instead of functioning as a social engineering instrument to dismantle structural inequality, the textually progressive regulatory framework (</w:t>
      </w:r>
      <w:proofErr w:type="spellStart"/>
      <w:r w:rsidRPr="00B86202">
        <w:rPr>
          <w:rFonts w:asciiTheme="majorHAnsi" w:hAnsiTheme="majorHAnsi"/>
        </w:rPr>
        <w:t>Perbup</w:t>
      </w:r>
      <w:proofErr w:type="spellEnd"/>
      <w:r w:rsidRPr="00B86202">
        <w:rPr>
          <w:rFonts w:asciiTheme="majorHAnsi" w:hAnsiTheme="majorHAnsi"/>
        </w:rPr>
        <w:t xml:space="preserve"> </w:t>
      </w:r>
      <w:proofErr w:type="spellStart"/>
      <w:r w:rsidRPr="00B86202">
        <w:rPr>
          <w:rFonts w:asciiTheme="majorHAnsi" w:hAnsiTheme="majorHAnsi"/>
        </w:rPr>
        <w:t>Donggala</w:t>
      </w:r>
      <w:proofErr w:type="spellEnd"/>
      <w:r w:rsidRPr="00B86202">
        <w:rPr>
          <w:rFonts w:asciiTheme="majorHAnsi" w:hAnsiTheme="majorHAnsi"/>
        </w:rPr>
        <w:t xml:space="preserve"> No. 13/2024) actually experiences </w:t>
      </w:r>
      <w:r w:rsidRPr="00B86202">
        <w:rPr>
          <w:rFonts w:asciiTheme="majorHAnsi" w:hAnsiTheme="majorHAnsi"/>
          <w:i/>
          <w:iCs/>
        </w:rPr>
        <w:t>gender policy evaporation</w:t>
      </w:r>
      <w:r w:rsidRPr="00B86202">
        <w:rPr>
          <w:rFonts w:asciiTheme="majorHAnsi" w:hAnsiTheme="majorHAnsi"/>
        </w:rPr>
        <w:t xml:space="preserve"> when transmitted to the grassroots level. Bureaucratic compliance at the sub-district and village levels is still trapped in symbolic administrative euphoria. The institutionalization of </w:t>
      </w:r>
      <w:r w:rsidRPr="00B86202">
        <w:rPr>
          <w:rFonts w:asciiTheme="majorHAnsi" w:hAnsiTheme="majorHAnsi"/>
          <w:i/>
          <w:iCs/>
        </w:rPr>
        <w:t>gender machinery</w:t>
      </w:r>
      <w:r w:rsidRPr="00B86202">
        <w:rPr>
          <w:rFonts w:asciiTheme="majorHAnsi" w:hAnsiTheme="majorHAnsi"/>
        </w:rPr>
        <w:t xml:space="preserve"> through </w:t>
      </w:r>
      <w:r w:rsidRPr="00B86202">
        <w:rPr>
          <w:rFonts w:asciiTheme="majorHAnsi" w:hAnsiTheme="majorHAnsi"/>
          <w:i/>
          <w:iCs/>
        </w:rPr>
        <w:t>the Focal Point</w:t>
      </w:r>
      <w:r w:rsidRPr="00B86202">
        <w:rPr>
          <w:rFonts w:asciiTheme="majorHAnsi" w:hAnsiTheme="majorHAnsi"/>
        </w:rPr>
        <w:t xml:space="preserve"> PUG has proven to lose its leverage due to the convergence of three main crises: the deficit of analytical literacy (</w:t>
      </w:r>
      <w:r w:rsidRPr="00B86202">
        <w:rPr>
          <w:rFonts w:asciiTheme="majorHAnsi" w:hAnsiTheme="majorHAnsi"/>
          <w:i/>
          <w:iCs/>
        </w:rPr>
        <w:t>gender analytic capacity</w:t>
      </w:r>
      <w:r w:rsidRPr="00B86202">
        <w:rPr>
          <w:rFonts w:asciiTheme="majorHAnsi" w:hAnsiTheme="majorHAnsi"/>
        </w:rPr>
        <w:t>), the poverty of disaggregated data architecture, and the vacuum of definitive fiscal commitments.</w:t>
      </w:r>
    </w:p>
    <w:p w14:paraId="1A909466" w14:textId="77777777" w:rsidR="00B86202" w:rsidRPr="00B86202" w:rsidRDefault="00B86202" w:rsidP="00B86202">
      <w:pPr>
        <w:pStyle w:val="NormalWeb"/>
        <w:ind w:firstLine="426"/>
        <w:jc w:val="both"/>
        <w:rPr>
          <w:rFonts w:asciiTheme="majorHAnsi" w:hAnsiTheme="majorHAnsi"/>
        </w:rPr>
      </w:pPr>
      <w:r w:rsidRPr="00B86202">
        <w:rPr>
          <w:rFonts w:asciiTheme="majorHAnsi" w:hAnsiTheme="majorHAnsi"/>
        </w:rPr>
        <w:t xml:space="preserve">More than just a technocratic failure, the stagnation of PPRG implementation in coastal areas is rooted in an asymmetrical intersection between the weak assertiveness of formal institutions and the strong hegemony of informal institutions that are biased as masculine. The failure of the apparatus to utilize critical instruments such as GAP and GBS </w:t>
      </w:r>
      <w:r w:rsidRPr="00B86202">
        <w:rPr>
          <w:rFonts w:asciiTheme="majorHAnsi" w:hAnsiTheme="majorHAnsi"/>
        </w:rPr>
        <w:lastRenderedPageBreak/>
        <w:t xml:space="preserve">causes planning documents to be blind to the dual vulnerability of coastal women in disaster-prone zones. At the same time, this research reveals the irony of women's involvement in local governance; where women are pragmatically instrumentalized as the spearhead of sectoral programs (such as </w:t>
      </w:r>
      <w:r w:rsidRPr="00B86202">
        <w:rPr>
          <w:rFonts w:asciiTheme="majorHAnsi" w:hAnsiTheme="majorHAnsi"/>
          <w:i/>
          <w:iCs/>
        </w:rPr>
        <w:t>stunting convergence</w:t>
      </w:r>
      <w:r w:rsidRPr="00B86202">
        <w:rPr>
          <w:rFonts w:asciiTheme="majorHAnsi" w:hAnsiTheme="majorHAnsi"/>
        </w:rPr>
        <w:t xml:space="preserve">), but are systematically excluded from the arena of strategic decision-making, both at the </w:t>
      </w:r>
      <w:proofErr w:type="spellStart"/>
      <w:r w:rsidRPr="00B86202">
        <w:rPr>
          <w:rFonts w:asciiTheme="majorHAnsi" w:hAnsiTheme="majorHAnsi"/>
        </w:rPr>
        <w:t>Musrenbang</w:t>
      </w:r>
      <w:proofErr w:type="spellEnd"/>
      <w:r w:rsidRPr="00B86202">
        <w:rPr>
          <w:rFonts w:asciiTheme="majorHAnsi" w:hAnsiTheme="majorHAnsi"/>
        </w:rPr>
        <w:t xml:space="preserve"> table and in the jurisdiction of Customary Institutions.</w:t>
      </w:r>
    </w:p>
    <w:p w14:paraId="3799DDE7" w14:textId="77777777" w:rsidR="00B86202" w:rsidRPr="00B86202" w:rsidRDefault="00B86202" w:rsidP="00B86202">
      <w:pPr>
        <w:pStyle w:val="NormalWeb"/>
        <w:ind w:firstLine="426"/>
        <w:jc w:val="both"/>
        <w:rPr>
          <w:rFonts w:asciiTheme="majorHAnsi" w:hAnsiTheme="majorHAnsi"/>
        </w:rPr>
      </w:pPr>
      <w:r w:rsidRPr="00B86202">
        <w:rPr>
          <w:rFonts w:asciiTheme="majorHAnsi" w:hAnsiTheme="majorHAnsi"/>
        </w:rPr>
        <w:t xml:space="preserve">Therefore, overcoming the paralysis of PPRG in </w:t>
      </w:r>
      <w:proofErr w:type="spellStart"/>
      <w:r w:rsidRPr="00B86202">
        <w:rPr>
          <w:rFonts w:asciiTheme="majorHAnsi" w:hAnsiTheme="majorHAnsi"/>
        </w:rPr>
        <w:t>Sirenja</w:t>
      </w:r>
      <w:proofErr w:type="spellEnd"/>
      <w:r w:rsidRPr="00B86202">
        <w:rPr>
          <w:rFonts w:asciiTheme="majorHAnsi" w:hAnsiTheme="majorHAnsi"/>
        </w:rPr>
        <w:t xml:space="preserve"> District is not enough to rely solely on the issuance of guidelines or episodic socialization. Unravelling this impasse requires systemic intervention and radical institutional engineering. </w:t>
      </w:r>
      <w:r w:rsidRPr="00B86202">
        <w:rPr>
          <w:rFonts w:asciiTheme="majorHAnsi" w:hAnsiTheme="majorHAnsi"/>
          <w:i/>
          <w:iCs/>
        </w:rPr>
        <w:t>First</w:t>
      </w:r>
      <w:r w:rsidRPr="00B86202">
        <w:rPr>
          <w:rFonts w:asciiTheme="majorHAnsi" w:hAnsiTheme="majorHAnsi"/>
        </w:rPr>
        <w:t xml:space="preserve">, bureaucratic accountability reform is needed in the form of binding leadership commitments through Key Performance Indicators (KPIs) which require the absorption ratio of the Gender Responsive Budget (ARG) as a condition for evaluating regional and sub-district apparatus. </w:t>
      </w:r>
      <w:r w:rsidRPr="00B86202">
        <w:rPr>
          <w:rFonts w:asciiTheme="majorHAnsi" w:hAnsiTheme="majorHAnsi"/>
          <w:i/>
          <w:iCs/>
        </w:rPr>
        <w:t>Second</w:t>
      </w:r>
      <w:r w:rsidRPr="00B86202">
        <w:rPr>
          <w:rFonts w:asciiTheme="majorHAnsi" w:hAnsiTheme="majorHAnsi"/>
        </w:rPr>
        <w:t>, the transformation of the learning ecosystem (</w:t>
      </w:r>
      <w:r w:rsidRPr="00B86202">
        <w:rPr>
          <w:rFonts w:asciiTheme="majorHAnsi" w:hAnsiTheme="majorHAnsi"/>
          <w:i/>
          <w:iCs/>
        </w:rPr>
        <w:t>policy learning</w:t>
      </w:r>
      <w:r w:rsidRPr="00B86202">
        <w:rPr>
          <w:rFonts w:asciiTheme="majorHAnsi" w:hAnsiTheme="majorHAnsi"/>
        </w:rPr>
        <w:t xml:space="preserve">) through continuous technical assistance (preparation clinics) for frontline apparatus, not just formality training. </w:t>
      </w:r>
      <w:r w:rsidRPr="00B86202">
        <w:rPr>
          <w:rFonts w:asciiTheme="majorHAnsi" w:hAnsiTheme="majorHAnsi"/>
          <w:i/>
          <w:iCs/>
        </w:rPr>
        <w:t>Third</w:t>
      </w:r>
      <w:r w:rsidRPr="00B86202">
        <w:rPr>
          <w:rFonts w:asciiTheme="majorHAnsi" w:hAnsiTheme="majorHAnsi"/>
        </w:rPr>
        <w:t xml:space="preserve">, the integration of inclusive governance that forces a space for dialogue between village governments, </w:t>
      </w:r>
      <w:r w:rsidRPr="00B86202">
        <w:rPr>
          <w:rFonts w:asciiTheme="majorHAnsi" w:hAnsiTheme="majorHAnsi"/>
          <w:i/>
          <w:iCs/>
        </w:rPr>
        <w:t>Focal Points</w:t>
      </w:r>
      <w:r w:rsidRPr="00B86202">
        <w:rPr>
          <w:rFonts w:asciiTheme="majorHAnsi" w:hAnsiTheme="majorHAnsi"/>
        </w:rPr>
        <w:t>, and customary institutions to deconstruct patriarchal bias in public services. Without a convergence between the strengthening of bureaucratic technocracy and the transformation of cultural space, PPRG will only be fossilized as a monument of regulations that fail to bring justice and resilience to vulnerable groups in coastal areas.</w:t>
      </w:r>
    </w:p>
    <w:p w14:paraId="12E09B5D" w14:textId="77777777" w:rsidR="000F1938" w:rsidRDefault="000F1938">
      <w:pPr>
        <w:jc w:val="both"/>
        <w:rPr>
          <w:rFonts w:ascii="Lustria" w:eastAsia="Lustria" w:hAnsi="Lustria" w:cs="Lustria"/>
          <w:b/>
        </w:rPr>
      </w:pPr>
    </w:p>
    <w:p w14:paraId="4DB4EA65" w14:textId="77777777" w:rsidR="000F1938" w:rsidRDefault="00000000">
      <w:pPr>
        <w:jc w:val="both"/>
        <w:rPr>
          <w:rFonts w:ascii="Lustria" w:eastAsia="Lustria" w:hAnsi="Lustria" w:cs="Lustria"/>
          <w:b/>
        </w:rPr>
      </w:pPr>
      <w:r>
        <w:rPr>
          <w:rFonts w:ascii="Lustria" w:eastAsia="Lustria" w:hAnsi="Lustria" w:cs="Lustria"/>
          <w:b/>
        </w:rPr>
        <w:t>References</w:t>
      </w:r>
    </w:p>
    <w:p w14:paraId="3090F398" w14:textId="77777777" w:rsidR="000F1938" w:rsidRDefault="000F1938">
      <w:pPr>
        <w:jc w:val="both"/>
        <w:rPr>
          <w:rFonts w:ascii="Lustria" w:eastAsia="Lustria" w:hAnsi="Lustria" w:cs="Lustria"/>
          <w:b/>
        </w:rPr>
      </w:pPr>
    </w:p>
    <w:p w14:paraId="4C86EDDF"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cs="SimSun"/>
          <w:b/>
          <w:bCs/>
          <w:szCs w:val="18"/>
        </w:rPr>
        <w:fldChar w:fldCharType="begin" w:fldLock="1"/>
      </w:r>
      <w:r w:rsidRPr="006936A6">
        <w:rPr>
          <w:rFonts w:ascii="Californian FB" w:hAnsi="Californian FB"/>
          <w:szCs w:val="18"/>
        </w:rPr>
        <w:instrText xml:space="preserve"> ADDIN ZOTERO_BIBL {"uncited":[],"omitted":[],"custom":[]} CSL_BIBLIOGRAPHY </w:instrText>
      </w:r>
      <w:r w:rsidRPr="006936A6">
        <w:rPr>
          <w:rFonts w:ascii="Californian FB" w:hAnsi="Californian FB" w:cs="SimSun"/>
          <w:b/>
          <w:bCs/>
          <w:szCs w:val="18"/>
        </w:rPr>
        <w:fldChar w:fldCharType="separate"/>
      </w:r>
      <w:r w:rsidRPr="006936A6">
        <w:rPr>
          <w:rFonts w:ascii="Californian FB" w:hAnsi="Californian FB"/>
          <w:szCs w:val="18"/>
        </w:rPr>
        <w:t xml:space="preserve">Anjellika, E., &amp; Lestarika, D. P. (2024). </w:t>
      </w:r>
      <w:r w:rsidRPr="006936A6">
        <w:rPr>
          <w:rFonts w:ascii="Californian FB" w:hAnsi="Californian FB"/>
          <w:i/>
          <w:iCs/>
          <w:szCs w:val="18"/>
        </w:rPr>
        <w:t>An In-Depth Analysis of the Gender Gap in Indonesia: Theoretical and Policy Perspectives</w:t>
      </w:r>
      <w:r w:rsidRPr="006936A6">
        <w:rPr>
          <w:rFonts w:ascii="Californian FB" w:hAnsi="Californian FB"/>
          <w:szCs w:val="18"/>
        </w:rPr>
        <w:t xml:space="preserve">. </w:t>
      </w:r>
      <w:r w:rsidRPr="006936A6">
        <w:rPr>
          <w:rFonts w:ascii="Californian FB" w:hAnsi="Californian FB"/>
          <w:i/>
          <w:iCs/>
          <w:szCs w:val="18"/>
        </w:rPr>
        <w:t>2</w:t>
      </w:r>
      <w:r w:rsidRPr="006936A6">
        <w:rPr>
          <w:rFonts w:ascii="Californian FB" w:hAnsi="Californian FB"/>
          <w:szCs w:val="18"/>
        </w:rPr>
        <w:t>, 542–546.</w:t>
      </w:r>
    </w:p>
    <w:p w14:paraId="666FD1EA"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Antasari, R., &amp; Hadi, A. (2017). </w:t>
      </w:r>
      <w:r w:rsidRPr="006936A6">
        <w:rPr>
          <w:rFonts w:ascii="Californian FB" w:hAnsi="Californian FB"/>
          <w:i/>
          <w:iCs/>
          <w:szCs w:val="18"/>
        </w:rPr>
        <w:t>IMPLEMENTATION OF GENDER-RESPONSIVE PLANNING AND BUDGETING POLICIES IN THE PALEMBANG CITY GOVERNMENT</w:t>
      </w:r>
      <w:r w:rsidRPr="006936A6">
        <w:rPr>
          <w:rFonts w:ascii="Californian FB" w:hAnsi="Californian FB"/>
          <w:szCs w:val="18"/>
        </w:rPr>
        <w:t xml:space="preserve">. </w:t>
      </w:r>
      <w:r w:rsidRPr="006936A6">
        <w:rPr>
          <w:rFonts w:ascii="Californian FB" w:hAnsi="Californian FB"/>
          <w:i/>
          <w:iCs/>
          <w:szCs w:val="18"/>
        </w:rPr>
        <w:t>10 (1)</w:t>
      </w:r>
      <w:r w:rsidRPr="006936A6">
        <w:rPr>
          <w:rFonts w:ascii="Californian FB" w:hAnsi="Californian FB"/>
          <w:szCs w:val="18"/>
        </w:rPr>
        <w:t>, 132–161.</w:t>
      </w:r>
    </w:p>
    <w:p w14:paraId="529A4CAC"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Bjarnegård, E. (2013). </w:t>
      </w:r>
      <w:r w:rsidRPr="006936A6">
        <w:rPr>
          <w:rFonts w:ascii="Californian FB" w:hAnsi="Californian FB"/>
          <w:i/>
          <w:iCs/>
          <w:szCs w:val="18"/>
        </w:rPr>
        <w:t>Gender, Informal Institutions and Political Recruitment. Explaining Male Dominance in Parliamentary Representation</w:t>
      </w:r>
      <w:r w:rsidRPr="006936A6">
        <w:rPr>
          <w:rFonts w:ascii="Californian FB" w:hAnsi="Californian FB"/>
          <w:szCs w:val="18"/>
        </w:rPr>
        <w:t>. https://doi.org/10.1057/9781137296740.</w:t>
      </w:r>
    </w:p>
    <w:p w14:paraId="3E77C278"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BPS Donggala Regency. (2023). </w:t>
      </w:r>
      <w:r w:rsidRPr="006936A6">
        <w:rPr>
          <w:rFonts w:ascii="Californian FB" w:hAnsi="Californian FB"/>
          <w:i/>
          <w:iCs/>
          <w:szCs w:val="18"/>
        </w:rPr>
        <w:t>Donggala Regency in 2023 figures</w:t>
      </w:r>
      <w:r w:rsidRPr="006936A6">
        <w:rPr>
          <w:rFonts w:ascii="Californian FB" w:hAnsi="Californian FB"/>
          <w:szCs w:val="18"/>
        </w:rPr>
        <w:t>. Donggala Regency Central Statistics Agency.</w:t>
      </w:r>
    </w:p>
    <w:p w14:paraId="5A06D01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Cavaghan, R. (2017). </w:t>
      </w:r>
      <w:r w:rsidRPr="006936A6">
        <w:rPr>
          <w:rFonts w:ascii="Californian FB" w:hAnsi="Californian FB"/>
          <w:i/>
          <w:iCs/>
          <w:szCs w:val="18"/>
        </w:rPr>
        <w:t>Making Gender Equality Happen: Knowledge, Change and Resistance in EU Gender Mainstreaming.</w:t>
      </w:r>
      <w:r w:rsidRPr="006936A6">
        <w:rPr>
          <w:rFonts w:ascii="Californian FB" w:hAnsi="Californian FB"/>
          <w:szCs w:val="18"/>
        </w:rPr>
        <w:t xml:space="preserve"> Routledge. https://doi.org/10.4324/9781315658544</w:t>
      </w:r>
    </w:p>
    <w:p w14:paraId="0AA8F761"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Chant, S., &amp; Sweetman, C. (2012). </w:t>
      </w:r>
      <w:r w:rsidRPr="006936A6">
        <w:rPr>
          <w:rFonts w:ascii="Californian FB" w:hAnsi="Californian FB"/>
          <w:i/>
          <w:iCs/>
          <w:szCs w:val="18"/>
        </w:rPr>
        <w:t>Fixing Women or Fixing the World? Smart Economics. Efficiency Approaches, and Gender Equality in Development</w:t>
      </w:r>
      <w:r w:rsidRPr="006936A6">
        <w:rPr>
          <w:rFonts w:ascii="Californian FB" w:hAnsi="Californian FB"/>
          <w:szCs w:val="18"/>
        </w:rPr>
        <w:t xml:space="preserve">. </w:t>
      </w:r>
      <w:r w:rsidRPr="006936A6">
        <w:rPr>
          <w:rFonts w:ascii="Californian FB" w:hAnsi="Californian FB"/>
          <w:i/>
          <w:iCs/>
          <w:szCs w:val="18"/>
        </w:rPr>
        <w:t>20</w:t>
      </w:r>
      <w:r w:rsidRPr="006936A6">
        <w:rPr>
          <w:rFonts w:ascii="Californian FB" w:hAnsi="Californian FB"/>
          <w:szCs w:val="18"/>
        </w:rPr>
        <w:t>, 517–529. https://doi.org/10.1080/13552074.2012.731812</w:t>
      </w:r>
    </w:p>
    <w:p w14:paraId="5562CBD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Creswell, J. W., &amp; Poth, C. N. (2018). </w:t>
      </w:r>
      <w:r w:rsidRPr="006936A6">
        <w:rPr>
          <w:rFonts w:ascii="Californian FB" w:hAnsi="Californian FB"/>
          <w:i/>
          <w:iCs/>
          <w:szCs w:val="18"/>
        </w:rPr>
        <w:t>Qualitative Inquiry and Research Design Choosing among Five Approaches.</w:t>
      </w:r>
      <w:r w:rsidRPr="006936A6">
        <w:rPr>
          <w:rFonts w:ascii="Californian FB" w:hAnsi="Californian FB"/>
          <w:szCs w:val="18"/>
        </w:rPr>
        <w:t xml:space="preserve"> (4th Edition). SAGE Publications.</w:t>
      </w:r>
    </w:p>
    <w:p w14:paraId="289E623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Dewi Mayasari, A., Dama, M., &amp; Situmorang, L. (2025). </w:t>
      </w:r>
      <w:r w:rsidRPr="006936A6">
        <w:rPr>
          <w:rFonts w:ascii="Californian FB" w:hAnsi="Californian FB"/>
          <w:i/>
          <w:iCs/>
          <w:szCs w:val="18"/>
        </w:rPr>
        <w:t>Towards an Inclusive Bureaucracy: Implementation of Gender Equality Policies in the Public Sector</w:t>
      </w:r>
      <w:r w:rsidRPr="006936A6">
        <w:rPr>
          <w:rFonts w:ascii="Californian FB" w:hAnsi="Californian FB"/>
          <w:szCs w:val="18"/>
        </w:rPr>
        <w:t xml:space="preserve">. </w:t>
      </w:r>
      <w:r w:rsidRPr="006936A6">
        <w:rPr>
          <w:rFonts w:ascii="Californian FB" w:hAnsi="Californian FB"/>
          <w:i/>
          <w:iCs/>
          <w:szCs w:val="18"/>
        </w:rPr>
        <w:t xml:space="preserve">Also </w:t>
      </w:r>
      <w:r w:rsidRPr="006936A6">
        <w:rPr>
          <w:rFonts w:ascii="Californian FB" w:hAnsi="Californian FB"/>
          <w:szCs w:val="18"/>
        </w:rPr>
        <w:t>Read, 157–169. https://doi.org/10.69875/djosse.v2i2.197.</w:t>
      </w:r>
    </w:p>
    <w:p w14:paraId="14D82276"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DiMaggio, P. J., &amp; Powell, W. W. (1983). </w:t>
      </w:r>
      <w:r w:rsidRPr="006936A6">
        <w:rPr>
          <w:rFonts w:ascii="Californian FB" w:hAnsi="Californian FB"/>
          <w:i/>
          <w:iCs/>
          <w:szCs w:val="18"/>
        </w:rPr>
        <w:t>The iron cage revisited: Institutional isomorphism and collective rationality in organizational fields</w:t>
      </w:r>
      <w:r w:rsidRPr="006936A6">
        <w:rPr>
          <w:rFonts w:ascii="Californian FB" w:hAnsi="Californian FB"/>
          <w:szCs w:val="18"/>
        </w:rPr>
        <w:t xml:space="preserve">. </w:t>
      </w:r>
      <w:r w:rsidRPr="006936A6">
        <w:rPr>
          <w:rFonts w:ascii="Californian FB" w:hAnsi="Californian FB"/>
          <w:i/>
          <w:iCs/>
          <w:szCs w:val="18"/>
        </w:rPr>
        <w:t>48(2)</w:t>
      </w:r>
      <w:r w:rsidRPr="006936A6">
        <w:rPr>
          <w:rFonts w:ascii="Californian FB" w:hAnsi="Californian FB"/>
          <w:szCs w:val="18"/>
        </w:rPr>
        <w:t>, 147–160. https://doi.org/10.2307/2095101</w:t>
      </w:r>
    </w:p>
    <w:p w14:paraId="69C87F8F"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Downes, R., &amp; Nicole, S. (2020). </w:t>
      </w:r>
      <w:r w:rsidRPr="006936A6">
        <w:rPr>
          <w:rFonts w:ascii="Californian FB" w:hAnsi="Californian FB"/>
          <w:i/>
          <w:iCs/>
          <w:szCs w:val="18"/>
        </w:rPr>
        <w:t>Designing and implementing gender budgeting – a path to action.</w:t>
      </w:r>
      <w:r w:rsidRPr="006936A6">
        <w:rPr>
          <w:rFonts w:ascii="Californian FB" w:hAnsi="Californian FB"/>
          <w:szCs w:val="18"/>
        </w:rPr>
        <w:t xml:space="preserve"> https://doi.org/20.%252010.1787/689198fa-en.</w:t>
      </w:r>
    </w:p>
    <w:p w14:paraId="000AB26B"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lastRenderedPageBreak/>
        <w:t xml:space="preserve">Eck, N., &amp; Waltman, L. (2020). </w:t>
      </w:r>
      <w:r w:rsidRPr="006936A6">
        <w:rPr>
          <w:rFonts w:ascii="Californian FB" w:hAnsi="Californian FB"/>
          <w:i/>
          <w:iCs/>
          <w:szCs w:val="18"/>
        </w:rPr>
        <w:t>VOSviewer Manual</w:t>
      </w:r>
      <w:r w:rsidRPr="006936A6">
        <w:rPr>
          <w:rFonts w:ascii="Californian FB" w:hAnsi="Californian FB"/>
          <w:szCs w:val="18"/>
        </w:rPr>
        <w:t>. Leiden University’s Centre.</w:t>
      </w:r>
    </w:p>
    <w:p w14:paraId="076D44F6"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Edwards, G. C. (1980). </w:t>
      </w:r>
      <w:r w:rsidRPr="006936A6">
        <w:rPr>
          <w:rFonts w:ascii="Californian FB" w:hAnsi="Californian FB"/>
          <w:i/>
          <w:iCs/>
          <w:szCs w:val="18"/>
        </w:rPr>
        <w:t>Implementing Public Policy</w:t>
      </w:r>
      <w:r w:rsidRPr="006936A6">
        <w:rPr>
          <w:rFonts w:ascii="Californian FB" w:hAnsi="Californian FB"/>
          <w:szCs w:val="18"/>
        </w:rPr>
        <w:t>. Congressional Quarterly Press. https://books.google.co.id/books?id=hAq8AAAAIAAJ</w:t>
      </w:r>
    </w:p>
    <w:p w14:paraId="75B2FFD7"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Espersson, M. (2024). </w:t>
      </w:r>
      <w:r w:rsidRPr="006936A6">
        <w:rPr>
          <w:rFonts w:ascii="Californian FB" w:hAnsi="Californian FB"/>
          <w:i/>
          <w:iCs/>
          <w:szCs w:val="18"/>
        </w:rPr>
        <w:t>Exploring The Challenges Of Gender Mainstreaming In Public Administration</w:t>
      </w:r>
      <w:r w:rsidRPr="006936A6">
        <w:rPr>
          <w:rFonts w:ascii="Californian FB" w:hAnsi="Californian FB"/>
          <w:szCs w:val="18"/>
        </w:rPr>
        <w:t>. https://www.europeansociology.org/conference/2024</w:t>
      </w:r>
    </w:p>
    <w:p w14:paraId="59EF96CD"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Girsang, N. C., Purnama, R., &amp; Hidayat, E. S. (2025). IMPLEMENTATION OF GENDER MAINSTREAMING POLICIES IN BANJAR CITY. </w:t>
      </w:r>
      <w:r w:rsidRPr="006936A6">
        <w:rPr>
          <w:rFonts w:ascii="Californian FB" w:hAnsi="Californian FB"/>
          <w:i/>
          <w:iCs/>
          <w:szCs w:val="18"/>
        </w:rPr>
        <w:t>Moderate: Scientific Journal of Government Science</w:t>
      </w:r>
      <w:r w:rsidRPr="006936A6">
        <w:rPr>
          <w:rFonts w:ascii="Californian FB" w:hAnsi="Californian FB"/>
          <w:szCs w:val="18"/>
        </w:rPr>
        <w:t>, 79–84.</w:t>
      </w:r>
    </w:p>
    <w:p w14:paraId="17F8F7D6"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Goetz, A. M. (1997). </w:t>
      </w:r>
      <w:r w:rsidRPr="006936A6">
        <w:rPr>
          <w:rFonts w:ascii="Californian FB" w:hAnsi="Californian FB"/>
          <w:i/>
          <w:iCs/>
          <w:szCs w:val="18"/>
        </w:rPr>
        <w:t>Getting institutions right for women in development</w:t>
      </w:r>
      <w:r w:rsidRPr="006936A6">
        <w:rPr>
          <w:rFonts w:ascii="Californian FB" w:hAnsi="Californian FB"/>
          <w:szCs w:val="18"/>
        </w:rPr>
        <w:t>. Zed Books.</w:t>
      </w:r>
    </w:p>
    <w:p w14:paraId="62C565CB"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Gorety, E. M., Selfianus, Meltodius, Y., Rongan, Y., &amp; Yeti, D. N. (2024). </w:t>
      </w:r>
      <w:r w:rsidRPr="006936A6">
        <w:rPr>
          <w:rFonts w:ascii="Californian FB" w:hAnsi="Californian FB"/>
          <w:i/>
          <w:iCs/>
          <w:szCs w:val="18"/>
        </w:rPr>
        <w:t>MAINSTREAMING AND DECENTRALIZING GENDER DEVELOPMENT IN THE HIRO HELENG FARMER GROUP, TEBUK VILLAGE, NITA DISTRICT, SIKKA REGENCY</w:t>
      </w:r>
      <w:r w:rsidRPr="006936A6">
        <w:rPr>
          <w:rFonts w:ascii="Californian FB" w:hAnsi="Californian FB"/>
          <w:szCs w:val="18"/>
        </w:rPr>
        <w:t xml:space="preserve">. </w:t>
      </w:r>
      <w:r w:rsidRPr="006936A6">
        <w:rPr>
          <w:rFonts w:ascii="Californian FB" w:hAnsi="Californian FB"/>
          <w:i/>
          <w:iCs/>
          <w:szCs w:val="18"/>
        </w:rPr>
        <w:t>5</w:t>
      </w:r>
      <w:r w:rsidRPr="006936A6">
        <w:rPr>
          <w:rFonts w:ascii="Californian FB" w:hAnsi="Californian FB"/>
          <w:szCs w:val="18"/>
        </w:rPr>
        <w:t>, 5770–5775.</w:t>
      </w:r>
    </w:p>
    <w:p w14:paraId="7AEABA5F"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Gur</w:t>
      </w:r>
      <w:r w:rsidRPr="006936A6">
        <w:rPr>
          <w:rFonts w:ascii="Cambria" w:hAnsi="Cambria" w:cs="Cambria"/>
          <w:szCs w:val="18"/>
        </w:rPr>
        <w:t>ă</w:t>
      </w:r>
      <w:r w:rsidRPr="006936A6">
        <w:rPr>
          <w:rFonts w:ascii="Californian FB" w:hAnsi="Californian FB"/>
          <w:szCs w:val="18"/>
        </w:rPr>
        <w:t xml:space="preserve">u, C. (2017). </w:t>
      </w:r>
      <w:r w:rsidRPr="006936A6">
        <w:rPr>
          <w:rFonts w:ascii="Californian FB" w:hAnsi="Californian FB"/>
          <w:i/>
          <w:iCs/>
          <w:szCs w:val="18"/>
        </w:rPr>
        <w:t>Decoupling in Organizational Ethics: An Institutional Perspective.</w:t>
      </w:r>
      <w:r w:rsidRPr="006936A6">
        <w:rPr>
          <w:rFonts w:ascii="Californian FB" w:hAnsi="Californian FB"/>
          <w:szCs w:val="18"/>
        </w:rPr>
        <w:t xml:space="preserve"> https://doi.org/10.1007/978-3-319-45186-2_10.</w:t>
      </w:r>
    </w:p>
    <w:p w14:paraId="6ADF9F2E"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Guzura, T. (2017). </w:t>
      </w:r>
      <w:r w:rsidRPr="006936A6">
        <w:rPr>
          <w:rFonts w:ascii="Californian FB" w:hAnsi="Californian FB"/>
          <w:i/>
          <w:iCs/>
          <w:szCs w:val="18"/>
        </w:rPr>
        <w:t>N OVERVIEW OF ISSUES AND CONCEPTS IN GENDER MAINSTREAMING</w:t>
      </w:r>
      <w:r w:rsidRPr="006936A6">
        <w:rPr>
          <w:rFonts w:ascii="Californian FB" w:hAnsi="Californian FB"/>
          <w:szCs w:val="18"/>
        </w:rPr>
        <w:t>. https://api.semanticscholar.org/CorpusID:231609255</w:t>
      </w:r>
      <w:r w:rsidR="00E2714F">
        <w:rPr>
          <w:rFonts w:ascii="Californian FB" w:hAnsi="Californian FB"/>
          <w:szCs w:val="18"/>
          <w:lang w:val="id-ID"/>
        </w:rPr>
        <w:t>.</w:t>
      </w:r>
    </w:p>
    <w:p w14:paraId="183C6739"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Hadi, H. (2024). </w:t>
      </w:r>
      <w:r w:rsidRPr="006936A6">
        <w:rPr>
          <w:rFonts w:ascii="Californian FB" w:hAnsi="Californian FB"/>
          <w:i/>
          <w:iCs/>
          <w:szCs w:val="18"/>
        </w:rPr>
        <w:t>Implementation and Challenges of Gender-Responsive Budgeting: A Literature Study.</w:t>
      </w:r>
      <w:r w:rsidRPr="006936A6">
        <w:rPr>
          <w:rFonts w:ascii="Californian FB" w:hAnsi="Californian FB"/>
          <w:szCs w:val="18"/>
        </w:rPr>
        <w:t xml:space="preserve"> 157–169. https://doi.org/10.30589/proceedings.2024.1049</w:t>
      </w:r>
    </w:p>
    <w:p w14:paraId="4831E981"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Irawan, F. S. (2021). </w:t>
      </w:r>
      <w:r w:rsidRPr="006936A6">
        <w:rPr>
          <w:rFonts w:ascii="Californian FB" w:hAnsi="Californian FB"/>
          <w:i/>
          <w:iCs/>
          <w:szCs w:val="18"/>
        </w:rPr>
        <w:t>Policy Learning in Regional Poverty Alleviation Policy Formulation: Insights from Gunungkidul</w:t>
      </w:r>
      <w:r w:rsidRPr="006936A6">
        <w:rPr>
          <w:rFonts w:ascii="Californian FB" w:hAnsi="Californian FB"/>
          <w:szCs w:val="18"/>
        </w:rPr>
        <w:t xml:space="preserve">. </w:t>
      </w:r>
      <w:r w:rsidRPr="006936A6">
        <w:rPr>
          <w:rFonts w:ascii="Californian FB" w:hAnsi="Californian FB"/>
          <w:i/>
          <w:iCs/>
          <w:szCs w:val="18"/>
        </w:rPr>
        <w:t>1(2)</w:t>
      </w:r>
      <w:r w:rsidRPr="006936A6">
        <w:rPr>
          <w:rFonts w:ascii="Californian FB" w:hAnsi="Californian FB"/>
          <w:szCs w:val="18"/>
        </w:rPr>
        <w:t>, 128–152. https://doi.org/10.15642/ijps.2021.1.2.128-152</w:t>
      </w:r>
    </w:p>
    <w:p w14:paraId="79E71EBE"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Ismail, K., Yulyana, E., &amp; Priyanti, E. (2020). </w:t>
      </w:r>
      <w:r w:rsidRPr="006936A6">
        <w:rPr>
          <w:rFonts w:ascii="Californian FB" w:hAnsi="Californian FB"/>
          <w:i/>
          <w:iCs/>
          <w:szCs w:val="18"/>
        </w:rPr>
        <w:t>INSTITUTIONAL STRENGTHENING OF GENDER AND CHILD MAINSTREAMING (Policy Implementation Study at the Karawang Regency Women's Empowerment and Child Protection Office)</w:t>
      </w:r>
      <w:r w:rsidRPr="006936A6">
        <w:rPr>
          <w:rFonts w:ascii="Californian FB" w:hAnsi="Californian FB"/>
          <w:szCs w:val="18"/>
        </w:rPr>
        <w:t xml:space="preserve">. </w:t>
      </w:r>
      <w:r w:rsidRPr="006936A6">
        <w:rPr>
          <w:rFonts w:ascii="Californian FB" w:hAnsi="Californian FB"/>
          <w:i/>
          <w:iCs/>
          <w:szCs w:val="18"/>
        </w:rPr>
        <w:t>6(4),</w:t>
      </w:r>
      <w:r w:rsidRPr="006936A6">
        <w:rPr>
          <w:rFonts w:ascii="Californian FB" w:hAnsi="Californian FB"/>
          <w:szCs w:val="18"/>
        </w:rPr>
        <w:t xml:space="preserve"> 831–848.</w:t>
      </w:r>
    </w:p>
    <w:p w14:paraId="326DF9F9"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Kantola, J., &amp; Squires, J. (2012). </w:t>
      </w:r>
      <w:r w:rsidRPr="006936A6">
        <w:rPr>
          <w:rFonts w:ascii="Californian FB" w:hAnsi="Californian FB"/>
          <w:i/>
          <w:iCs/>
          <w:szCs w:val="18"/>
        </w:rPr>
        <w:t>From state feminism to market feminism? 33(4)</w:t>
      </w:r>
      <w:r w:rsidRPr="006936A6">
        <w:rPr>
          <w:rFonts w:ascii="Californian FB" w:hAnsi="Californian FB"/>
          <w:szCs w:val="18"/>
        </w:rPr>
        <w:t>, 382–400. https://doi.org/10.1177/0192512111432513</w:t>
      </w:r>
    </w:p>
    <w:p w14:paraId="4891AFF2"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Kertati, I. R. M., Fadhli; Dalilati Hazhiyah, Hizwati; Kartikasari Handayani, Titis; Hanung Basworo, Dawn. (2025). ASSISTANCE IN THE PREPARATION OF GENDER ANALYSIS PATHWAYS AND GENDER ACTION BUDGETS FOR REGIONAL APPARATUS. </w:t>
      </w:r>
      <w:r w:rsidRPr="006936A6">
        <w:rPr>
          <w:rFonts w:ascii="Californian FB" w:hAnsi="Californian FB"/>
          <w:i/>
          <w:iCs/>
          <w:szCs w:val="18"/>
        </w:rPr>
        <w:t>Martabe : Journal of Community Service</w:t>
      </w:r>
      <w:r w:rsidRPr="006936A6">
        <w:rPr>
          <w:rFonts w:ascii="Californian FB" w:hAnsi="Californian FB"/>
          <w:szCs w:val="18"/>
        </w:rPr>
        <w:t>, (Vol 8, No 2 (2025): MARTABE : JOURNAL OF COMMUNITY SERVICE), 692–703.</w:t>
      </w:r>
    </w:p>
    <w:p w14:paraId="13ED744B"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Lombardo, E., &amp; Meier, P. (2022). </w:t>
      </w:r>
      <w:r w:rsidRPr="006936A6">
        <w:rPr>
          <w:rFonts w:ascii="Californian FB" w:hAnsi="Californian FB"/>
          <w:i/>
          <w:iCs/>
          <w:szCs w:val="18"/>
        </w:rPr>
        <w:t>Challenging boundaries to expand frontiers in gender and policy studies</w:t>
      </w:r>
      <w:r w:rsidRPr="006936A6">
        <w:rPr>
          <w:rFonts w:ascii="Californian FB" w:hAnsi="Californian FB"/>
          <w:szCs w:val="18"/>
        </w:rPr>
        <w:t xml:space="preserve">. </w:t>
      </w:r>
      <w:r w:rsidRPr="006936A6">
        <w:rPr>
          <w:rFonts w:ascii="Californian FB" w:hAnsi="Californian FB"/>
          <w:i/>
          <w:iCs/>
          <w:szCs w:val="18"/>
        </w:rPr>
        <w:t>50(1)</w:t>
      </w:r>
      <w:r w:rsidRPr="006936A6">
        <w:rPr>
          <w:rFonts w:ascii="Californian FB" w:hAnsi="Californian FB"/>
          <w:szCs w:val="18"/>
        </w:rPr>
        <w:t>, 99–115. https://doi.org/10.1332/030557321X16309516650101</w:t>
      </w:r>
    </w:p>
    <w:p w14:paraId="2535B07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Mergaert, L., &amp; Lombardo, E. (2017). Resistance to implementing gender mainstreaming in EU research policy. Dalam H. MacRae &amp; E. Weiner (Ed.), </w:t>
      </w:r>
      <w:r w:rsidRPr="006936A6">
        <w:rPr>
          <w:rFonts w:ascii="Californian FB" w:hAnsi="Californian FB"/>
          <w:i/>
          <w:iCs/>
          <w:szCs w:val="18"/>
        </w:rPr>
        <w:t>Towards gendering institutionalism: Equality in Europe</w:t>
      </w:r>
      <w:r w:rsidRPr="006936A6">
        <w:rPr>
          <w:rFonts w:ascii="Californian FB" w:hAnsi="Californian FB"/>
          <w:szCs w:val="18"/>
        </w:rPr>
        <w:t>. Littlefield International.</w:t>
      </w:r>
    </w:p>
    <w:p w14:paraId="4FB87D8B"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Meyer, J., &amp; Rowan, B. (1977). </w:t>
      </w:r>
      <w:r w:rsidRPr="006936A6">
        <w:rPr>
          <w:rFonts w:ascii="Californian FB" w:hAnsi="Californian FB"/>
          <w:i/>
          <w:iCs/>
          <w:szCs w:val="18"/>
        </w:rPr>
        <w:t>Institutionalized Organizations: Formal Structure as Myth and Ceremony</w:t>
      </w:r>
      <w:r w:rsidRPr="006936A6">
        <w:rPr>
          <w:rFonts w:ascii="Californian FB" w:hAnsi="Californian FB"/>
          <w:szCs w:val="18"/>
        </w:rPr>
        <w:t xml:space="preserve">. </w:t>
      </w:r>
      <w:r w:rsidRPr="006936A6">
        <w:rPr>
          <w:rFonts w:ascii="Californian FB" w:hAnsi="Californian FB"/>
          <w:i/>
          <w:iCs/>
          <w:szCs w:val="18"/>
        </w:rPr>
        <w:t>83</w:t>
      </w:r>
      <w:r w:rsidRPr="006936A6">
        <w:rPr>
          <w:rFonts w:ascii="Californian FB" w:hAnsi="Californian FB"/>
          <w:szCs w:val="18"/>
        </w:rPr>
        <w:t>, 340–363. http://dx.doi.org/10.1086/226550</w:t>
      </w:r>
    </w:p>
    <w:p w14:paraId="1607C06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Miles, M. B., Huberman, A. M., &amp; Saldaña, J. (2014). </w:t>
      </w:r>
      <w:r w:rsidRPr="006936A6">
        <w:rPr>
          <w:rFonts w:ascii="Californian FB" w:hAnsi="Californian FB"/>
          <w:i/>
          <w:iCs/>
          <w:szCs w:val="18"/>
        </w:rPr>
        <w:t>Qualitative data analysis: A methods sourcebook</w:t>
      </w:r>
      <w:r w:rsidRPr="006936A6">
        <w:rPr>
          <w:rFonts w:ascii="Californian FB" w:hAnsi="Californian FB"/>
          <w:szCs w:val="18"/>
        </w:rPr>
        <w:t xml:space="preserve"> (Edition 3). SAGE Publications.</w:t>
      </w:r>
    </w:p>
    <w:p w14:paraId="74EC4508"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Misrina, M., &amp; Wicaksono, M. A. (2025). </w:t>
      </w:r>
      <w:r w:rsidRPr="006936A6">
        <w:rPr>
          <w:rFonts w:ascii="Californian FB" w:hAnsi="Californian FB"/>
          <w:i/>
          <w:iCs/>
          <w:szCs w:val="18"/>
        </w:rPr>
        <w:t>Resilience of Coastal Women in the Face of Climate Change. 5(2)</w:t>
      </w:r>
      <w:r w:rsidRPr="006936A6">
        <w:rPr>
          <w:rFonts w:ascii="Californian FB" w:hAnsi="Californian FB"/>
          <w:szCs w:val="18"/>
        </w:rPr>
        <w:t>. https://doi.org/10.31004/joecy.v5i2.1155</w:t>
      </w:r>
    </w:p>
    <w:p w14:paraId="38483CA2"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Moser, C. O. N. (1993). </w:t>
      </w:r>
      <w:r w:rsidRPr="006936A6">
        <w:rPr>
          <w:rFonts w:ascii="Californian FB" w:hAnsi="Californian FB"/>
          <w:i/>
          <w:iCs/>
          <w:szCs w:val="18"/>
        </w:rPr>
        <w:t>Gender Planning and Development: Theory, Practice, and Training</w:t>
      </w:r>
      <w:r w:rsidRPr="006936A6">
        <w:rPr>
          <w:rFonts w:ascii="Californian FB" w:hAnsi="Californian FB"/>
          <w:szCs w:val="18"/>
        </w:rPr>
        <w:t>. http://dx.doi.org/10.4324/9780203411940</w:t>
      </w:r>
    </w:p>
    <w:p w14:paraId="2D434D59"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lastRenderedPageBreak/>
        <w:t xml:space="preserve">Nazneen, S., &amp; Okech, A. (2021). Introduction: Feminist Protests and Politics in a World in Crisis. </w:t>
      </w:r>
      <w:r w:rsidRPr="006936A6">
        <w:rPr>
          <w:rFonts w:ascii="Californian FB" w:hAnsi="Californian FB"/>
          <w:i/>
          <w:iCs/>
          <w:szCs w:val="18"/>
        </w:rPr>
        <w:t>Journal contribution</w:t>
      </w:r>
      <w:r w:rsidRPr="006936A6">
        <w:rPr>
          <w:rFonts w:ascii="Californian FB" w:hAnsi="Californian FB"/>
          <w:szCs w:val="18"/>
        </w:rPr>
        <w:t>. https://hdl.handle.net/20.500.12413/17051</w:t>
      </w:r>
    </w:p>
    <w:p w14:paraId="54A16DE0"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Nillesen, E., Grimm, M., Goedhuys, M., Reitmann, A.-K., &amp; Meysonnat, A. (2021). On the malleability of gender attitudes: Evidence from implicit and explicit measures in Tunisia. </w:t>
      </w:r>
      <w:r w:rsidRPr="006936A6">
        <w:rPr>
          <w:rFonts w:ascii="Californian FB" w:hAnsi="Californian FB"/>
          <w:i/>
          <w:iCs/>
          <w:szCs w:val="18"/>
        </w:rPr>
        <w:t>World Development</w:t>
      </w:r>
      <w:r w:rsidRPr="006936A6">
        <w:rPr>
          <w:rFonts w:ascii="Californian FB" w:hAnsi="Californian FB"/>
          <w:szCs w:val="18"/>
        </w:rPr>
        <w:t xml:space="preserve">, </w:t>
      </w:r>
      <w:r w:rsidRPr="006936A6">
        <w:rPr>
          <w:rFonts w:ascii="Californian FB" w:hAnsi="Californian FB"/>
          <w:i/>
          <w:iCs/>
          <w:szCs w:val="18"/>
        </w:rPr>
        <w:t>138</w:t>
      </w:r>
      <w:r w:rsidRPr="006936A6">
        <w:rPr>
          <w:rFonts w:ascii="Californian FB" w:hAnsi="Californian FB"/>
          <w:szCs w:val="18"/>
        </w:rPr>
        <w:t>, 105263. https://doi.org/10.1016/j.worlddev.2020.105263</w:t>
      </w:r>
    </w:p>
    <w:p w14:paraId="1F04B146"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Nurlaili, N., &amp; Muhartono, R. (2017). </w:t>
      </w:r>
      <w:r w:rsidRPr="006936A6">
        <w:rPr>
          <w:rFonts w:ascii="Californian FB" w:hAnsi="Californian FB"/>
          <w:i/>
          <w:iCs/>
          <w:szCs w:val="18"/>
        </w:rPr>
        <w:t>THE ROLE OF WOMEN FISHERMEN IN THE CAPTURE FISHERIES BUSINESS AND IMPROVING THE HOUSEHOLD ECONOMY OF JAKARTA BAY COAST</w:t>
      </w:r>
      <w:r w:rsidRPr="006936A6">
        <w:rPr>
          <w:rFonts w:ascii="Californian FB" w:hAnsi="Californian FB"/>
          <w:szCs w:val="18"/>
        </w:rPr>
        <w:t xml:space="preserve">. </w:t>
      </w:r>
      <w:r w:rsidRPr="006936A6">
        <w:rPr>
          <w:rFonts w:ascii="Californian FB" w:hAnsi="Californian FB"/>
          <w:i/>
          <w:iCs/>
          <w:szCs w:val="18"/>
        </w:rPr>
        <w:t>12</w:t>
      </w:r>
      <w:r w:rsidRPr="006936A6">
        <w:rPr>
          <w:rFonts w:ascii="Californian FB" w:hAnsi="Californian FB"/>
          <w:szCs w:val="18"/>
        </w:rPr>
        <w:t>. https://doi.org/10.15578/jsekp.v12i2.6481</w:t>
      </w:r>
    </w:p>
    <w:p w14:paraId="3DD94616"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Paterson, S., &amp; Scala, F. (2025). </w:t>
      </w:r>
      <w:r w:rsidRPr="006936A6">
        <w:rPr>
          <w:rFonts w:ascii="Californian FB" w:hAnsi="Californian FB"/>
          <w:i/>
          <w:iCs/>
          <w:szCs w:val="18"/>
        </w:rPr>
        <w:t>Gender-Mainstreaming in Public Policy</w:t>
      </w:r>
      <w:r w:rsidRPr="006936A6">
        <w:rPr>
          <w:rFonts w:ascii="Californian FB" w:hAnsi="Californian FB"/>
          <w:szCs w:val="18"/>
        </w:rPr>
        <w:t>. Springer, Cham. https://doi.org/10.1007/978-3-030-90434-0_121-1</w:t>
      </w:r>
    </w:p>
    <w:p w14:paraId="5B2F214C"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Peterson, H., &amp; Jordansson, B. (2022). </w:t>
      </w:r>
      <w:r w:rsidRPr="006936A6">
        <w:rPr>
          <w:rFonts w:ascii="Californian FB" w:hAnsi="Californian FB"/>
          <w:i/>
          <w:iCs/>
          <w:szCs w:val="18"/>
        </w:rPr>
        <w:t>Gender mainstreaming in Swedish academia: Translating policy into practice. 31(1)</w:t>
      </w:r>
      <w:r w:rsidRPr="006936A6">
        <w:rPr>
          <w:rFonts w:ascii="Californian FB" w:hAnsi="Californian FB"/>
          <w:szCs w:val="18"/>
        </w:rPr>
        <w:t>, 87–100.</w:t>
      </w:r>
    </w:p>
    <w:p w14:paraId="4267490E"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Pierre, J., &amp; Peters, B. G. (2000). </w:t>
      </w:r>
      <w:r w:rsidRPr="006936A6">
        <w:rPr>
          <w:rFonts w:ascii="Californian FB" w:hAnsi="Californian FB"/>
          <w:i/>
          <w:iCs/>
          <w:szCs w:val="18"/>
        </w:rPr>
        <w:t>Governance, politics and the state</w:t>
      </w:r>
      <w:r w:rsidRPr="006936A6">
        <w:rPr>
          <w:rFonts w:ascii="Californian FB" w:hAnsi="Californian FB"/>
          <w:szCs w:val="18"/>
        </w:rPr>
        <w:t>. Macmillan Press.</w:t>
      </w:r>
    </w:p>
    <w:p w14:paraId="3D570E5D"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Polzer, T., Nolte, I. M., &amp; Seiwald, J. (2023). </w:t>
      </w:r>
      <w:r w:rsidRPr="006936A6">
        <w:rPr>
          <w:rFonts w:ascii="Californian FB" w:hAnsi="Californian FB"/>
          <w:i/>
          <w:iCs/>
          <w:szCs w:val="18"/>
        </w:rPr>
        <w:t>Gender budgeting in public financial management: A literature review and research agenda</w:t>
      </w:r>
      <w:r w:rsidRPr="006936A6">
        <w:rPr>
          <w:rFonts w:ascii="Californian FB" w:hAnsi="Californian FB"/>
          <w:szCs w:val="18"/>
        </w:rPr>
        <w:t xml:space="preserve">. </w:t>
      </w:r>
      <w:r w:rsidRPr="006936A6">
        <w:rPr>
          <w:rFonts w:ascii="Californian FB" w:hAnsi="Californian FB"/>
          <w:i/>
          <w:iCs/>
          <w:szCs w:val="18"/>
        </w:rPr>
        <w:t>89(2)</w:t>
      </w:r>
      <w:r w:rsidRPr="006936A6">
        <w:rPr>
          <w:rFonts w:ascii="Californian FB" w:hAnsi="Californian FB"/>
          <w:szCs w:val="18"/>
        </w:rPr>
        <w:t>, 450–466. https://doi.org/10.1177/00208523211031796</w:t>
      </w:r>
    </w:p>
    <w:p w14:paraId="674E79C8"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Polzer, T., Nolte, I., &amp; Seiwald, J. (2021). </w:t>
      </w:r>
      <w:r w:rsidRPr="006936A6">
        <w:rPr>
          <w:rFonts w:ascii="Californian FB" w:hAnsi="Californian FB"/>
          <w:i/>
          <w:iCs/>
          <w:szCs w:val="18"/>
        </w:rPr>
        <w:t>Gender Budgeting in Public Financial Management: A Literature Review and Research Agenda</w:t>
      </w:r>
      <w:r w:rsidRPr="006936A6">
        <w:rPr>
          <w:rFonts w:ascii="Californian FB" w:hAnsi="Californian FB"/>
          <w:szCs w:val="18"/>
        </w:rPr>
        <w:t>. https://doi.org/10.1177/00208523211031796.</w:t>
      </w:r>
    </w:p>
    <w:p w14:paraId="4BB52244"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Pusadan, S. (2017). </w:t>
      </w:r>
      <w:r w:rsidRPr="006936A6">
        <w:rPr>
          <w:rFonts w:ascii="Californian FB" w:hAnsi="Californian FB"/>
          <w:i/>
          <w:iCs/>
          <w:szCs w:val="18"/>
        </w:rPr>
        <w:t>IMPLEMENTATION OF GENDER-RESPONSIVE PLANNING AND BUDGETING POLICIES AT THE REGIONAL WOMEN'S EMPOWERMENT AND FAMILY PLANNING AGENCY OF CENTRAL SULAWESI PROVINCE</w:t>
      </w:r>
      <w:r w:rsidRPr="006936A6">
        <w:rPr>
          <w:rFonts w:ascii="Californian FB" w:hAnsi="Californian FB"/>
          <w:szCs w:val="18"/>
        </w:rPr>
        <w:t xml:space="preserve">. </w:t>
      </w:r>
      <w:r w:rsidRPr="006936A6">
        <w:rPr>
          <w:rFonts w:ascii="Californian FB" w:hAnsi="Californian FB"/>
          <w:i/>
          <w:iCs/>
          <w:szCs w:val="18"/>
        </w:rPr>
        <w:t>5(2)</w:t>
      </w:r>
      <w:r w:rsidRPr="006936A6">
        <w:rPr>
          <w:rFonts w:ascii="Californian FB" w:hAnsi="Californian FB"/>
          <w:szCs w:val="18"/>
        </w:rPr>
        <w:t>, 191–201.</w:t>
      </w:r>
    </w:p>
    <w:p w14:paraId="0A362654"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Sari, R. H., &amp; Suryani, D. A. (2023). </w:t>
      </w:r>
      <w:r w:rsidRPr="006936A6">
        <w:rPr>
          <w:rFonts w:ascii="Californian FB" w:hAnsi="Californian FB"/>
          <w:i/>
          <w:iCs/>
          <w:szCs w:val="18"/>
        </w:rPr>
        <w:t>Implementation of Gender Mainstreaming Policy in the Regional Government of the Special Region of Yogyakarta</w:t>
      </w:r>
      <w:r w:rsidRPr="006936A6">
        <w:rPr>
          <w:rFonts w:ascii="Californian FB" w:hAnsi="Californian FB"/>
          <w:szCs w:val="18"/>
        </w:rPr>
        <w:t xml:space="preserve">. </w:t>
      </w:r>
      <w:r w:rsidRPr="006936A6">
        <w:rPr>
          <w:rFonts w:ascii="Californian FB" w:hAnsi="Californian FB"/>
          <w:i/>
          <w:iCs/>
          <w:szCs w:val="18"/>
        </w:rPr>
        <w:t>18</w:t>
      </w:r>
      <w:r w:rsidRPr="006936A6">
        <w:rPr>
          <w:rFonts w:ascii="Californian FB" w:hAnsi="Californian FB"/>
          <w:szCs w:val="18"/>
        </w:rPr>
        <w:t>, 12–34. https://doi.org/10.20961/sp.v18i1.64885</w:t>
      </w:r>
    </w:p>
    <w:p w14:paraId="286DFAD0"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Setyawan, D. (2016). </w:t>
      </w:r>
      <w:r w:rsidRPr="006936A6">
        <w:rPr>
          <w:rFonts w:ascii="Californian FB" w:hAnsi="Californian FB"/>
          <w:i/>
          <w:iCs/>
          <w:szCs w:val="18"/>
        </w:rPr>
        <w:t>Gender-responsive planning and budgeting</w:t>
      </w:r>
      <w:r w:rsidRPr="006936A6">
        <w:rPr>
          <w:rFonts w:ascii="Californian FB" w:hAnsi="Californian FB"/>
          <w:szCs w:val="18"/>
        </w:rPr>
        <w:t>. Forind.</w:t>
      </w:r>
    </w:p>
    <w:p w14:paraId="3D078245"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Singh, V., &amp; Das, P. (2025). The role of gender equality and effective governance in reducing income inequality: Evidence from developing Asia. </w:t>
      </w:r>
      <w:r w:rsidRPr="006936A6">
        <w:rPr>
          <w:rFonts w:ascii="Californian FB" w:hAnsi="Californian FB"/>
          <w:i/>
          <w:iCs/>
          <w:szCs w:val="18"/>
        </w:rPr>
        <w:t>Social Sciences &amp; Humanities Open</w:t>
      </w:r>
      <w:r w:rsidRPr="006936A6">
        <w:rPr>
          <w:rFonts w:ascii="Californian FB" w:hAnsi="Californian FB"/>
          <w:szCs w:val="18"/>
        </w:rPr>
        <w:t xml:space="preserve">, </w:t>
      </w:r>
      <w:r w:rsidRPr="006936A6">
        <w:rPr>
          <w:rFonts w:ascii="Californian FB" w:hAnsi="Californian FB"/>
          <w:i/>
          <w:iCs/>
          <w:szCs w:val="18"/>
        </w:rPr>
        <w:t>12</w:t>
      </w:r>
      <w:r w:rsidRPr="006936A6">
        <w:rPr>
          <w:rFonts w:ascii="Californian FB" w:hAnsi="Californian FB"/>
          <w:szCs w:val="18"/>
        </w:rPr>
        <w:t>, 102159. https://doi.org/10.1016/j.ssaho.2025.102159</w:t>
      </w:r>
    </w:p>
    <w:p w14:paraId="07F09687"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Soleha, S., &amp; Afriyanni, A. (2021). </w:t>
      </w:r>
      <w:r w:rsidRPr="006936A6">
        <w:rPr>
          <w:rFonts w:ascii="Californian FB" w:hAnsi="Californian FB"/>
          <w:i/>
          <w:iCs/>
          <w:szCs w:val="18"/>
        </w:rPr>
        <w:t>Evaluation of the Implementation of Gender Mainstreaming (PUG) in the city of Pekanbaru</w:t>
      </w:r>
      <w:r w:rsidRPr="006936A6">
        <w:rPr>
          <w:rFonts w:ascii="Californian FB" w:hAnsi="Californian FB"/>
          <w:szCs w:val="18"/>
        </w:rPr>
        <w:t xml:space="preserve">. </w:t>
      </w:r>
      <w:r w:rsidRPr="006936A6">
        <w:rPr>
          <w:rFonts w:ascii="Californian FB" w:hAnsi="Californian FB"/>
          <w:i/>
          <w:iCs/>
          <w:szCs w:val="18"/>
        </w:rPr>
        <w:t>Rev. 16(2)</w:t>
      </w:r>
      <w:r w:rsidRPr="006936A6">
        <w:rPr>
          <w:rFonts w:ascii="Californian FB" w:hAnsi="Californian FB"/>
          <w:szCs w:val="18"/>
        </w:rPr>
        <w:t>, 71–84. https://doi.org/10.31258/sorot.16.2.71-84</w:t>
      </w:r>
    </w:p>
    <w:p w14:paraId="78E07CC1"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Sugiyono. (2023). </w:t>
      </w:r>
      <w:r w:rsidRPr="006936A6">
        <w:rPr>
          <w:rFonts w:ascii="Californian FB" w:hAnsi="Californian FB"/>
          <w:i/>
          <w:iCs/>
          <w:szCs w:val="18"/>
        </w:rPr>
        <w:t>Analysis of Gender-Responsive Planning and Budgeting (Case Study of the Cooperative Office, SMEs of South Kalimantan Province)</w:t>
      </w:r>
      <w:r w:rsidRPr="006936A6">
        <w:rPr>
          <w:rFonts w:ascii="Californian FB" w:hAnsi="Californian FB"/>
          <w:szCs w:val="18"/>
        </w:rPr>
        <w:t xml:space="preserve">. </w:t>
      </w:r>
      <w:r w:rsidRPr="006936A6">
        <w:rPr>
          <w:rFonts w:ascii="Californian FB" w:hAnsi="Californian FB"/>
          <w:i/>
          <w:iCs/>
          <w:szCs w:val="18"/>
        </w:rPr>
        <w:t>4(4)</w:t>
      </w:r>
      <w:r w:rsidRPr="006936A6">
        <w:rPr>
          <w:rFonts w:ascii="Californian FB" w:hAnsi="Californian FB"/>
          <w:szCs w:val="18"/>
        </w:rPr>
        <w:t>, 143–156.</w:t>
      </w:r>
    </w:p>
    <w:p w14:paraId="3F5A008D"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Syukri, M. (2021). </w:t>
      </w:r>
      <w:r w:rsidRPr="006936A6">
        <w:rPr>
          <w:rFonts w:ascii="Californian FB" w:hAnsi="Californian FB"/>
          <w:i/>
          <w:iCs/>
          <w:szCs w:val="18"/>
        </w:rPr>
        <w:t>Gender Equality in Indonesian New Developmental State: The Case of the New Participatory Village Governance</w:t>
      </w:r>
      <w:r w:rsidRPr="006936A6">
        <w:rPr>
          <w:rFonts w:ascii="Californian FB" w:hAnsi="Californian FB"/>
          <w:szCs w:val="18"/>
        </w:rPr>
        <w:t>. Smeru Research Institute.</w:t>
      </w:r>
    </w:p>
    <w:p w14:paraId="1172037E"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UN-HABITAT. (2008). </w:t>
      </w:r>
      <w:r w:rsidRPr="006936A6">
        <w:rPr>
          <w:rFonts w:ascii="Californian FB" w:hAnsi="Californian FB"/>
          <w:i/>
          <w:iCs/>
          <w:szCs w:val="18"/>
        </w:rPr>
        <w:t>GENDER MAINSTREAMING IN LOCAL AUTHORITIES BEST PRACTICES</w:t>
      </w:r>
      <w:r w:rsidRPr="006936A6">
        <w:rPr>
          <w:rFonts w:ascii="Californian FB" w:hAnsi="Californian FB"/>
          <w:szCs w:val="18"/>
        </w:rPr>
        <w:t>. United Nations Human Settlements Programme.</w:t>
      </w:r>
    </w:p>
    <w:p w14:paraId="2368E964" w14:textId="77777777" w:rsidR="00E2714F" w:rsidRDefault="00B86202" w:rsidP="00E2714F">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United Nations. (2002). </w:t>
      </w:r>
      <w:r w:rsidRPr="006936A6">
        <w:rPr>
          <w:rFonts w:ascii="Californian FB" w:hAnsi="Californian FB"/>
          <w:i/>
          <w:iCs/>
          <w:szCs w:val="18"/>
        </w:rPr>
        <w:t>GENDER MAINSTREAMING AN OVERVIEW</w:t>
      </w:r>
      <w:r w:rsidRPr="006936A6">
        <w:rPr>
          <w:rFonts w:ascii="Californian FB" w:hAnsi="Californian FB"/>
          <w:szCs w:val="18"/>
        </w:rPr>
        <w:t>. United Nations. https://www.un.org/womenwatch/osagi/pdf/e65237.pdf</w:t>
      </w:r>
    </w:p>
    <w:p w14:paraId="255B7164" w14:textId="77777777" w:rsidR="00C32A29" w:rsidRDefault="00B86202" w:rsidP="00C32A29">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Vito, D., Klun, M., &amp; Iztok, R. (2025). </w:t>
      </w:r>
      <w:r w:rsidRPr="006936A6">
        <w:rPr>
          <w:rFonts w:ascii="Californian FB" w:hAnsi="Californian FB"/>
          <w:i/>
          <w:iCs/>
          <w:szCs w:val="18"/>
        </w:rPr>
        <w:t>Gender Responsive Budgeting Enabling Factors in Local Government Practice</w:t>
      </w:r>
      <w:r w:rsidRPr="006936A6">
        <w:rPr>
          <w:rFonts w:ascii="Californian FB" w:hAnsi="Californian FB"/>
          <w:szCs w:val="18"/>
        </w:rPr>
        <w:t xml:space="preserve">. </w:t>
      </w:r>
      <w:r w:rsidRPr="006936A6">
        <w:rPr>
          <w:rFonts w:ascii="Californian FB" w:hAnsi="Californian FB"/>
          <w:i/>
          <w:iCs/>
          <w:szCs w:val="18"/>
        </w:rPr>
        <w:t>14(1)</w:t>
      </w:r>
      <w:r w:rsidRPr="006936A6">
        <w:rPr>
          <w:rFonts w:ascii="Californian FB" w:hAnsi="Californian FB"/>
          <w:szCs w:val="18"/>
        </w:rPr>
        <w:t>, 81. https://doi.org/10.36941/ajis-2025-0006</w:t>
      </w:r>
    </w:p>
    <w:p w14:paraId="7315D1C8" w14:textId="21C889CE" w:rsidR="00B86202" w:rsidRPr="006936A6" w:rsidRDefault="00B86202" w:rsidP="00C32A29">
      <w:pPr>
        <w:pStyle w:val="Bibliografi"/>
        <w:spacing w:line="276" w:lineRule="auto"/>
        <w:ind w:left="567" w:hanging="567"/>
        <w:jc w:val="both"/>
        <w:rPr>
          <w:rFonts w:ascii="Californian FB" w:hAnsi="Californian FB"/>
          <w:szCs w:val="18"/>
          <w:lang w:val="id-ID"/>
        </w:rPr>
      </w:pPr>
      <w:r w:rsidRPr="006936A6">
        <w:rPr>
          <w:rFonts w:ascii="Californian FB" w:hAnsi="Californian FB"/>
          <w:szCs w:val="18"/>
        </w:rPr>
        <w:t xml:space="preserve">Wahid, A., Mukhlis, S., &amp; Nirvana. (2023). </w:t>
      </w:r>
      <w:r w:rsidRPr="006936A6">
        <w:rPr>
          <w:rFonts w:ascii="Californian FB" w:hAnsi="Californian FB"/>
          <w:i/>
          <w:iCs/>
          <w:szCs w:val="18"/>
        </w:rPr>
        <w:t>IMPLEMENTATION OF GENDER-RESPONSIVE PLANNING AND BUDGETING (PPRG) POLICY IN SINJAI REGENCY</w:t>
      </w:r>
      <w:r w:rsidRPr="006936A6">
        <w:rPr>
          <w:rFonts w:ascii="Californian FB" w:hAnsi="Californian FB"/>
          <w:szCs w:val="18"/>
        </w:rPr>
        <w:t xml:space="preserve">. </w:t>
      </w:r>
      <w:r w:rsidRPr="006936A6">
        <w:rPr>
          <w:rFonts w:ascii="Californian FB" w:hAnsi="Californian FB"/>
          <w:i/>
          <w:iCs/>
          <w:szCs w:val="18"/>
        </w:rPr>
        <w:t>14(1)</w:t>
      </w:r>
      <w:r w:rsidRPr="006936A6">
        <w:rPr>
          <w:rFonts w:ascii="Californian FB" w:hAnsi="Californian FB"/>
          <w:szCs w:val="18"/>
        </w:rPr>
        <w:t>, 12–21. https://doi.org/10.47030/administrasita.v14i1.612</w:t>
      </w:r>
    </w:p>
    <w:p w14:paraId="239CCCFA" w14:textId="271DE2B7" w:rsidR="000F1938" w:rsidRDefault="00B86202" w:rsidP="00E2714F">
      <w:pPr>
        <w:pBdr>
          <w:top w:val="nil"/>
          <w:left w:val="nil"/>
          <w:bottom w:val="nil"/>
          <w:right w:val="nil"/>
          <w:between w:val="nil"/>
        </w:pBdr>
        <w:ind w:left="720"/>
        <w:jc w:val="both"/>
        <w:rPr>
          <w:rFonts w:ascii="Lustria" w:eastAsia="Lustria" w:hAnsi="Lustria" w:cs="Lustria"/>
          <w:color w:val="000000"/>
        </w:rPr>
      </w:pPr>
      <w:r w:rsidRPr="006936A6">
        <w:rPr>
          <w:rFonts w:ascii="Californian FB" w:hAnsi="Californian FB" w:cstheme="majorHAnsi"/>
          <w:color w:val="0563C1"/>
          <w:szCs w:val="18"/>
        </w:rPr>
        <w:lastRenderedPageBreak/>
        <w:fldChar w:fldCharType="end"/>
      </w:r>
    </w:p>
    <w:p w14:paraId="517067CA" w14:textId="77777777" w:rsidR="000F1938" w:rsidRDefault="000F1938">
      <w:pPr>
        <w:spacing w:after="120"/>
        <w:rPr>
          <w:rFonts w:ascii="Lustria" w:eastAsia="Lustria" w:hAnsi="Lustria" w:cs="Lustria"/>
          <w:b/>
        </w:rPr>
      </w:pPr>
    </w:p>
    <w:p w14:paraId="604A8979" w14:textId="77777777" w:rsidR="000F1938" w:rsidRDefault="000F1938">
      <w:pPr>
        <w:spacing w:after="120"/>
        <w:rPr>
          <w:rFonts w:ascii="Lustria" w:eastAsia="Lustria" w:hAnsi="Lustria" w:cs="Lustria"/>
          <w:b/>
        </w:rPr>
      </w:pPr>
    </w:p>
    <w:p w14:paraId="2688BFAD" w14:textId="77777777" w:rsidR="000F1938" w:rsidRDefault="000F1938">
      <w:pPr>
        <w:spacing w:after="120"/>
        <w:rPr>
          <w:rFonts w:ascii="Lustria" w:eastAsia="Lustria" w:hAnsi="Lustria" w:cs="Lustria"/>
          <w:b/>
        </w:rPr>
      </w:pPr>
    </w:p>
    <w:p w14:paraId="672E05B8" w14:textId="77777777" w:rsidR="000F1938" w:rsidRDefault="000F1938">
      <w:pPr>
        <w:spacing w:after="120"/>
        <w:rPr>
          <w:rFonts w:ascii="Lustria" w:eastAsia="Lustria" w:hAnsi="Lustria" w:cs="Lustria"/>
          <w:b/>
        </w:rPr>
        <w:sectPr w:rsidR="000F1938">
          <w:headerReference w:type="default" r:id="rId11"/>
          <w:footerReference w:type="default" r:id="rId12"/>
          <w:pgSz w:w="11907" w:h="16839"/>
          <w:pgMar w:top="1440" w:right="1440" w:bottom="426" w:left="1440" w:header="360" w:footer="272" w:gutter="0"/>
          <w:pgNumType w:start="1"/>
          <w:cols w:space="720"/>
        </w:sectPr>
      </w:pPr>
    </w:p>
    <w:p w14:paraId="6B9E54AF" w14:textId="77777777" w:rsidR="000F1938" w:rsidRDefault="000F1938">
      <w:pPr>
        <w:jc w:val="both"/>
        <w:rPr>
          <w:rFonts w:ascii="Lustria" w:eastAsia="Lustria" w:hAnsi="Lustria" w:cs="Lustria"/>
        </w:rPr>
      </w:pPr>
    </w:p>
    <w:sectPr w:rsidR="000F1938">
      <w:type w:val="continuous"/>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C812" w14:textId="77777777" w:rsidR="005F024B" w:rsidRDefault="005F024B">
      <w:r>
        <w:separator/>
      </w:r>
    </w:p>
  </w:endnote>
  <w:endnote w:type="continuationSeparator" w:id="0">
    <w:p w14:paraId="1E51E7D8" w14:textId="77777777" w:rsidR="005F024B" w:rsidRDefault="005F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38CE8E3-BE54-AE48-9145-147652791ADF}"/>
    <w:embedBold r:id="rId2" w:fontKey="{E64DEE4E-5260-CA4A-B6A9-E73200766EBF}"/>
    <w:embedItalic r:id="rId3" w:fontKey="{32D203D0-9DA2-C543-A4B5-1F5B3BF85973}"/>
    <w:embedBoldItalic r:id="rId4" w:fontKey="{56D5ADB5-4DA8-8F4A-8031-9770A39D7C23}"/>
  </w:font>
  <w:font w:name="Cambria">
    <w:panose1 w:val="02040503050406030204"/>
    <w:charset w:val="00"/>
    <w:family w:val="roman"/>
    <w:pitch w:val="variable"/>
    <w:sig w:usb0="E00006FF" w:usb1="420024FF" w:usb2="02000000" w:usb3="00000000" w:csb0="0000019F" w:csb1="00000000"/>
    <w:embedRegular r:id="rId5" w:fontKey="{37D4E2BA-DD79-554E-9975-FD825737D848}"/>
    <w:embedBold r:id="rId6" w:fontKey="{6557BDAE-3C9D-E64B-8024-033C363949EF}"/>
    <w:embedItalic r:id="rId7" w:fontKey="{F1EE7F18-D811-C147-AFFB-6C44DEE56207}"/>
    <w:embedBoldItalic r:id="rId8" w:fontKey="{52EA7278-47EE-DD45-961A-5CFDC439DB96}"/>
  </w:font>
  <w:font w:name="Tahoma">
    <w:panose1 w:val="020B0604030504040204"/>
    <w:charset w:val="00"/>
    <w:family w:val="swiss"/>
    <w:pitch w:val="variable"/>
    <w:sig w:usb0="E1002EFF" w:usb1="C000605B" w:usb2="00000029" w:usb3="00000000" w:csb0="000101FF" w:csb1="00000000"/>
    <w:embedRegular r:id="rId9" w:fontKey="{989EC68D-4BE9-5E45-A99E-729E1B2E7753}"/>
  </w:font>
  <w:font w:name="Arial">
    <w:panose1 w:val="020B0604020202020204"/>
    <w:charset w:val="00"/>
    <w:family w:val="swiss"/>
    <w:pitch w:val="variable"/>
    <w:sig w:usb0="E0002AFF" w:usb1="C0007843" w:usb2="00000009" w:usb3="00000000" w:csb0="000001FF" w:csb1="00000000"/>
    <w:embedRegular r:id="rId10" w:fontKey="{E3196136-7ADE-3742-BB07-3F33B52650AB}"/>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embedRegular r:id="rId11" w:fontKey="{8BF996A9-DBBE-D24E-9442-6D1BF6DC2C4A}"/>
  </w:font>
  <w:font w:name="ArialMT">
    <w:panose1 w:val="020B0604020202020204"/>
    <w:charset w:val="00"/>
    <w:family w:val="roman"/>
    <w:pitch w:val="default"/>
  </w:font>
  <w:font w:name="AdvOT7fb33346.I">
    <w:panose1 w:val="020B0604020202020204"/>
    <w:charset w:val="00"/>
    <w:family w:val="roman"/>
    <w:pitch w:val="default"/>
  </w:font>
  <w:font w:name="AdvOT7fb33346.I+fb">
    <w:panose1 w:val="020B0604020202020204"/>
    <w:charset w:val="00"/>
    <w:family w:val="roman"/>
    <w:pitch w:val="default"/>
  </w:font>
  <w:font w:name="AdvOT596495f2">
    <w:panose1 w:val="020B0604020202020204"/>
    <w:charset w:val="00"/>
    <w:family w:val="roman"/>
    <w:pitch w:val="default"/>
  </w:font>
  <w:font w:name="CharisSIL-Identity-H">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embedRegular r:id="rId17" w:fontKey="{F2AC0185-3091-D14B-ABC1-158AFD3263F1}"/>
    <w:embedItalic r:id="rId18" w:fontKey="{14192B2A-787D-8240-A9B5-6D5E749F42C9}"/>
  </w:font>
  <w:font w:name="Lustria">
    <w:charset w:val="00"/>
    <w:family w:val="auto"/>
    <w:pitch w:val="default"/>
    <w:embedRegular r:id="rId19" w:fontKey="{B298E459-9D17-0D4D-88DA-52CFA9D36E1E}"/>
    <w:embedBold r:id="rId20" w:fontKey="{EE7706DD-F8A4-9D40-9519-B605DFA51134}"/>
    <w:embedItalic r:id="rId21" w:fontKey="{C60BC73B-DB9E-BE48-8DCA-6D1F4F78896D}"/>
    <w:embedBoldItalic r:id="rId22" w:fontKey="{4679B5DC-5C19-4C44-9CBD-0AA697026633}"/>
  </w:font>
  <w:font w:name="Calibri">
    <w:panose1 w:val="020F0502020204030204"/>
    <w:charset w:val="00"/>
    <w:family w:val="swiss"/>
    <w:pitch w:val="variable"/>
    <w:sig w:usb0="E0002AFF" w:usb1="C000247B" w:usb2="00000009" w:usb3="00000000" w:csb0="000001FF" w:csb1="00000000"/>
    <w:embedRegular r:id="rId23" w:fontKey="{7563DF2F-5333-3A49-9C04-F36620A1D16C}"/>
  </w:font>
  <w:font w:name="Californian FB">
    <w:panose1 w:val="0207040306080B030204"/>
    <w:charset w:val="4D"/>
    <w:family w:val="roman"/>
    <w:pitch w:val="variable"/>
    <w:sig w:usb0="00000003" w:usb1="00000000" w:usb2="00000000" w:usb3="00000000" w:csb0="00000001" w:csb1="00000000"/>
    <w:embedRegular r:id="rId24" w:fontKey="{00B5A5B7-2A2D-6741-928F-189476DFABFF}"/>
    <w:embedBold r:id="rId25" w:fontKey="{00A3B4D2-BF10-A241-8746-A8B1C7D259FE}"/>
    <w:embedItalic r:id="rId26" w:fontKey="{867BAA99-A7D5-A241-99FE-68593B7833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61CF" w14:textId="77777777" w:rsidR="000F1938"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803E1">
      <w:rPr>
        <w:noProof/>
        <w:color w:val="000000"/>
      </w:rPr>
      <w:t>1</w:t>
    </w:r>
    <w:r>
      <w:rPr>
        <w:color w:val="000000"/>
      </w:rPr>
      <w:fldChar w:fldCharType="end"/>
    </w:r>
  </w:p>
  <w:p w14:paraId="5F751DAF" w14:textId="77777777" w:rsidR="000F1938" w:rsidRDefault="000F193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C8F28" w14:textId="77777777" w:rsidR="005F024B" w:rsidRDefault="005F024B">
      <w:r>
        <w:separator/>
      </w:r>
    </w:p>
  </w:footnote>
  <w:footnote w:type="continuationSeparator" w:id="0">
    <w:p w14:paraId="2715D9D0" w14:textId="77777777" w:rsidR="005F024B" w:rsidRDefault="005F0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6025" w14:textId="77777777" w:rsidR="000F1938" w:rsidRDefault="00000000">
    <w:pPr>
      <w:pBdr>
        <w:top w:val="nil"/>
        <w:left w:val="nil"/>
        <w:bottom w:val="nil"/>
        <w:right w:val="nil"/>
        <w:between w:val="nil"/>
      </w:pBdr>
      <w:tabs>
        <w:tab w:val="center" w:pos="4680"/>
        <w:tab w:val="right" w:pos="9360"/>
      </w:tabs>
      <w:rPr>
        <w:color w:val="4F81BD"/>
      </w:rPr>
    </w:pPr>
    <w:r>
      <w:rPr>
        <w:color w:val="4F81BD"/>
      </w:rPr>
      <w:t xml:space="preserve">                                        Asian Journal of Management </w:t>
    </w:r>
    <w:proofErr w:type="spellStart"/>
    <w:r>
      <w:rPr>
        <w:color w:val="4F81BD"/>
      </w:rPr>
      <w:t>Entrpreneurship</w:t>
    </w:r>
    <w:proofErr w:type="spellEnd"/>
    <w:r>
      <w:rPr>
        <w:color w:val="4F81BD"/>
      </w:rPr>
      <w:t xml:space="preserve"> and Social Science</w:t>
    </w:r>
  </w:p>
  <w:p w14:paraId="67F85BAF" w14:textId="77777777" w:rsidR="000F1938" w:rsidRDefault="00000000">
    <w:pPr>
      <w:pBdr>
        <w:top w:val="nil"/>
        <w:left w:val="nil"/>
        <w:bottom w:val="nil"/>
        <w:right w:val="nil"/>
        <w:between w:val="nil"/>
      </w:pBdr>
      <w:tabs>
        <w:tab w:val="center" w:pos="4680"/>
        <w:tab w:val="right" w:pos="9360"/>
      </w:tabs>
      <w:rPr>
        <w:color w:val="4F81BD"/>
      </w:rPr>
    </w:pPr>
    <w:r>
      <w:rPr>
        <w:color w:val="4F81BD"/>
      </w:rPr>
      <w:t xml:space="preserve">                                                                                                                  ISSN: 2808 7399</w:t>
    </w:r>
  </w:p>
  <w:p w14:paraId="3DE22629" w14:textId="77777777" w:rsidR="000F1938" w:rsidRDefault="00000000">
    <w:pPr>
      <w:pBdr>
        <w:top w:val="nil"/>
        <w:left w:val="nil"/>
        <w:bottom w:val="nil"/>
        <w:right w:val="nil"/>
        <w:between w:val="nil"/>
      </w:pBdr>
      <w:tabs>
        <w:tab w:val="center" w:pos="4680"/>
        <w:tab w:val="right" w:pos="9360"/>
      </w:tabs>
      <w:rPr>
        <w:rFonts w:ascii="Lustria" w:eastAsia="Lustria" w:hAnsi="Lustria" w:cs="Lustria"/>
        <w:b/>
        <w:sz w:val="16"/>
        <w:szCs w:val="16"/>
      </w:rPr>
    </w:pPr>
    <w:r>
      <w:rPr>
        <w:color w:val="4F81BD"/>
      </w:rPr>
      <w:t xml:space="preserve">                                                                         </w:t>
    </w:r>
    <w:r>
      <w:rPr>
        <w:noProof/>
      </w:rPr>
      <mc:AlternateContent>
        <mc:Choice Requires="wps">
          <w:drawing>
            <wp:anchor distT="0" distB="0" distL="114300" distR="114300" simplePos="0" relativeHeight="251658240" behindDoc="0" locked="0" layoutInCell="1" hidden="0" allowOverlap="1" wp14:anchorId="0E2B7C42" wp14:editId="354ABAFB">
              <wp:simplePos x="0" y="0"/>
              <wp:positionH relativeFrom="column">
                <wp:posOffset>3632200</wp:posOffset>
              </wp:positionH>
              <wp:positionV relativeFrom="paragraph">
                <wp:posOffset>-1587499</wp:posOffset>
              </wp:positionV>
              <wp:extent cx="2209800" cy="476250"/>
              <wp:effectExtent l="0" t="0" r="0" b="0"/>
              <wp:wrapNone/>
              <wp:docPr id="32" name="Persegi Panjang 32"/>
              <wp:cNvGraphicFramePr/>
              <a:graphic xmlns:a="http://schemas.openxmlformats.org/drawingml/2006/main">
                <a:graphicData uri="http://schemas.microsoft.com/office/word/2010/wordprocessingShape">
                  <wps:wsp>
                    <wps:cNvSpPr/>
                    <wps:spPr>
                      <a:xfrm>
                        <a:off x="4245863" y="3546638"/>
                        <a:ext cx="2200275" cy="466725"/>
                      </a:xfrm>
                      <a:prstGeom prst="rect">
                        <a:avLst/>
                      </a:prstGeom>
                      <a:noFill/>
                      <a:ln>
                        <a:noFill/>
                      </a:ln>
                    </wps:spPr>
                    <wps:txbx>
                      <w:txbxContent>
                        <w:p w14:paraId="648B6C88" w14:textId="77777777" w:rsidR="000F1938" w:rsidRDefault="00000000">
                          <w:pPr>
                            <w:jc w:val="right"/>
                            <w:textDirection w:val="btLr"/>
                          </w:pPr>
                          <w:r>
                            <w:rPr>
                              <w:rFonts w:ascii="Lustria" w:eastAsia="Lustria" w:hAnsi="Lustria" w:cs="Lustria"/>
                              <w:color w:val="000000"/>
                              <w:sz w:val="16"/>
                            </w:rPr>
                            <w:t>Li Falah-</w:t>
                          </w:r>
                          <w:proofErr w:type="spellStart"/>
                          <w:r>
                            <w:rPr>
                              <w:rFonts w:ascii="Lustria" w:eastAsia="Lustria" w:hAnsi="Lustria" w:cs="Lustria"/>
                              <w:color w:val="000000"/>
                              <w:sz w:val="16"/>
                            </w:rPr>
                            <w:t>Jurnal</w:t>
                          </w:r>
                          <w:proofErr w:type="spellEnd"/>
                          <w:r>
                            <w:rPr>
                              <w:rFonts w:ascii="Lustria" w:eastAsia="Lustria" w:hAnsi="Lustria" w:cs="Lustria"/>
                              <w:color w:val="000000"/>
                              <w:sz w:val="16"/>
                            </w:rPr>
                            <w:t xml:space="preserve"> Studi Ekonomi Dan Bisnis Islam</w:t>
                          </w:r>
                        </w:p>
                        <w:p w14:paraId="53CF9644" w14:textId="77777777" w:rsidR="000F1938" w:rsidRDefault="00000000">
                          <w:pPr>
                            <w:jc w:val="right"/>
                            <w:textDirection w:val="btLr"/>
                          </w:pPr>
                          <w:r>
                            <w:rPr>
                              <w:rFonts w:ascii="Lustria" w:eastAsia="Lustria" w:hAnsi="Lustria" w:cs="Lustria"/>
                              <w:color w:val="000000"/>
                              <w:sz w:val="16"/>
                            </w:rPr>
                            <w:t>Volume 4 (No.2 2019) 1-7</w:t>
                          </w:r>
                        </w:p>
                        <w:p w14:paraId="5DC48804" w14:textId="77777777" w:rsidR="000F1938" w:rsidRDefault="00000000">
                          <w:pPr>
                            <w:jc w:val="right"/>
                            <w:textDirection w:val="btLr"/>
                          </w:pPr>
                          <w:r>
                            <w:rPr>
                              <w:rFonts w:ascii="Lustria" w:eastAsia="Lustria" w:hAnsi="Lustria" w:cs="Lustria"/>
                              <w:color w:val="000000"/>
                              <w:sz w:val="16"/>
                            </w:rPr>
                            <w:t>P-ISSN: 2541-6545, E-ISSN: 2549-6085</w:t>
                          </w:r>
                        </w:p>
                      </w:txbxContent>
                    </wps:txbx>
                    <wps:bodyPr spcFirstLastPara="1" wrap="square" lIns="91425" tIns="45700" rIns="91425" bIns="45700" anchor="ctr" anchorCtr="0">
                      <a:noAutofit/>
                    </wps:bodyPr>
                  </wps:wsp>
                </a:graphicData>
              </a:graphic>
            </wp:anchor>
          </w:drawing>
        </mc:Choice>
        <mc:Fallback>
          <w:pict>
            <v:rect w14:anchorId="0E2B7C42" id="Persegi Panjang 32" o:spid="_x0000_s1026" style="position:absolute;margin-left:286pt;margin-top:-125pt;width:174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" filled="f" stroked="f">
              <v:textbox inset="2.53958mm,1.2694mm,2.53958mm,1.2694mm">
                <w:txbxContent>
                  <w:p w14:paraId="648B6C88" w14:textId="77777777" w:rsidR="000F1938" w:rsidRDefault="00000000">
                    <w:pPr>
                      <w:jc w:val="right"/>
                      <w:textDirection w:val="btLr"/>
                    </w:pPr>
                    <w:r>
                      <w:rPr>
                        <w:rFonts w:ascii="Lustria" w:eastAsia="Lustria" w:hAnsi="Lustria" w:cs="Lustria"/>
                        <w:color w:val="000000"/>
                        <w:sz w:val="16"/>
                      </w:rPr>
                      <w:t>Li Falah-</w:t>
                    </w:r>
                    <w:proofErr w:type="spellStart"/>
                    <w:r>
                      <w:rPr>
                        <w:rFonts w:ascii="Lustria" w:eastAsia="Lustria" w:hAnsi="Lustria" w:cs="Lustria"/>
                        <w:color w:val="000000"/>
                        <w:sz w:val="16"/>
                      </w:rPr>
                      <w:t>Jurnal</w:t>
                    </w:r>
                    <w:proofErr w:type="spellEnd"/>
                    <w:r>
                      <w:rPr>
                        <w:rFonts w:ascii="Lustria" w:eastAsia="Lustria" w:hAnsi="Lustria" w:cs="Lustria"/>
                        <w:color w:val="000000"/>
                        <w:sz w:val="16"/>
                      </w:rPr>
                      <w:t xml:space="preserve"> Studi Ekonomi Dan Bisnis Islam</w:t>
                    </w:r>
                  </w:p>
                  <w:p w14:paraId="53CF9644" w14:textId="77777777" w:rsidR="000F1938" w:rsidRDefault="00000000">
                    <w:pPr>
                      <w:jc w:val="right"/>
                      <w:textDirection w:val="btLr"/>
                    </w:pPr>
                    <w:r>
                      <w:rPr>
                        <w:rFonts w:ascii="Lustria" w:eastAsia="Lustria" w:hAnsi="Lustria" w:cs="Lustria"/>
                        <w:color w:val="000000"/>
                        <w:sz w:val="16"/>
                      </w:rPr>
                      <w:t>Volume 4 (No.2 2019) 1-7</w:t>
                    </w:r>
                  </w:p>
                  <w:p w14:paraId="5DC48804" w14:textId="77777777" w:rsidR="000F1938" w:rsidRDefault="00000000">
                    <w:pPr>
                      <w:jc w:val="right"/>
                      <w:textDirection w:val="btLr"/>
                    </w:pPr>
                    <w:r>
                      <w:rPr>
                        <w:rFonts w:ascii="Lustria" w:eastAsia="Lustria" w:hAnsi="Lustria" w:cs="Lustria"/>
                        <w:color w:val="000000"/>
                        <w:sz w:val="16"/>
                      </w:rPr>
                      <w:t>P-ISSN: 2541-6545, E-ISSN: 2549-6085</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0EF40235" wp14:editId="4205689F">
              <wp:simplePos x="0" y="0"/>
              <wp:positionH relativeFrom="column">
                <wp:posOffset>1</wp:posOffset>
              </wp:positionH>
              <wp:positionV relativeFrom="paragraph">
                <wp:posOffset>-1130299</wp:posOffset>
              </wp:positionV>
              <wp:extent cx="4962525" cy="28575"/>
              <wp:effectExtent l="0" t="0" r="0" b="0"/>
              <wp:wrapNone/>
              <wp:docPr id="33" name="Konektor Panah Lurus 33"/>
              <wp:cNvGraphicFramePr/>
              <a:graphic xmlns:a="http://schemas.openxmlformats.org/drawingml/2006/main">
                <a:graphicData uri="http://schemas.microsoft.com/office/word/2010/wordprocessingShape">
                  <wps:wsp>
                    <wps:cNvCnPr/>
                    <wps:spPr>
                      <a:xfrm>
                        <a:off x="2864738" y="3780000"/>
                        <a:ext cx="4962525" cy="0"/>
                      </a:xfrm>
                      <a:prstGeom prst="straightConnector1">
                        <a:avLst/>
                      </a:prstGeom>
                      <a:noFill/>
                      <a:ln w="2857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-1130299</wp:posOffset>
              </wp:positionV>
              <wp:extent cx="4962525" cy="28575"/>
              <wp:effectExtent b="0" l="0" r="0" t="0"/>
              <wp:wrapNone/>
              <wp:docPr id="33"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962525" cy="28575"/>
                      </a:xfrm>
                      <a:prstGeom prst="rect"/>
                      <a:ln/>
                    </pic:spPr>
                  </pic:pic>
                </a:graphicData>
              </a:graphic>
            </wp:anchor>
          </w:drawing>
        </mc:Fallback>
      </mc:AlternateContent>
    </w:r>
  </w:p>
  <w:p w14:paraId="27DEC7B7" w14:textId="77777777" w:rsidR="000F1938" w:rsidRDefault="00000000">
    <w:pPr>
      <w:pBdr>
        <w:top w:val="nil"/>
        <w:left w:val="nil"/>
        <w:bottom w:val="nil"/>
        <w:right w:val="nil"/>
        <w:between w:val="nil"/>
      </w:pBdr>
      <w:tabs>
        <w:tab w:val="center" w:pos="4680"/>
        <w:tab w:val="right" w:pos="9360"/>
      </w:tabs>
      <w:rPr>
        <w:color w:val="000000"/>
      </w:rPr>
    </w:pPr>
    <w:r>
      <w:rPr>
        <w:color w:val="4F81BD"/>
      </w:rPr>
      <w:t xml:space="preserve">                                                                                                               Volume 0 </w:t>
    </w:r>
    <w:proofErr w:type="gramStart"/>
    <w:r>
      <w:rPr>
        <w:color w:val="4F81BD"/>
      </w:rPr>
      <w:t>Issue  0</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61CA5"/>
    <w:multiLevelType w:val="multilevel"/>
    <w:tmpl w:val="BB2894B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 w15:restartNumberingAfterBreak="0">
    <w:nsid w:val="5D055516"/>
    <w:multiLevelType w:val="multilevel"/>
    <w:tmpl w:val="068C9AF2"/>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num w:numId="1" w16cid:durableId="1439835787">
    <w:abstractNumId w:val="0"/>
  </w:num>
  <w:num w:numId="2" w16cid:durableId="275261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38"/>
    <w:rsid w:val="00025952"/>
    <w:rsid w:val="000A562F"/>
    <w:rsid w:val="000F1938"/>
    <w:rsid w:val="000F487F"/>
    <w:rsid w:val="002D5427"/>
    <w:rsid w:val="00351F6D"/>
    <w:rsid w:val="00432610"/>
    <w:rsid w:val="005B7D5D"/>
    <w:rsid w:val="005F024B"/>
    <w:rsid w:val="00850ECA"/>
    <w:rsid w:val="00B86202"/>
    <w:rsid w:val="00C20CA6"/>
    <w:rsid w:val="00C32A29"/>
    <w:rsid w:val="00C803E1"/>
    <w:rsid w:val="00CD0665"/>
    <w:rsid w:val="00D67DE3"/>
    <w:rsid w:val="00E2714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D198"/>
  <w15:docId w15:val="{BDE572D3-4F14-5542-96CA-D7A777DA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63B"/>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link w:val="Judul2KAR"/>
    <w:uiPriority w:val="9"/>
    <w:semiHidden/>
    <w:unhideWhenUsed/>
    <w:qFormat/>
    <w:rsid w:val="00327011"/>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character" w:styleId="Hyperlink">
    <w:name w:val="Hyperlink"/>
    <w:basedOn w:val="FontParagrafDefault"/>
    <w:uiPriority w:val="99"/>
    <w:unhideWhenUsed/>
    <w:rsid w:val="0033263B"/>
    <w:rPr>
      <w:color w:val="0000FF"/>
      <w:u w:val="single"/>
    </w:rPr>
  </w:style>
  <w:style w:type="paragraph" w:styleId="DaftarParagraf">
    <w:name w:val="List Paragraph"/>
    <w:basedOn w:val="Normal"/>
    <w:uiPriority w:val="34"/>
    <w:qFormat/>
    <w:rsid w:val="0033263B"/>
    <w:pPr>
      <w:ind w:left="720"/>
      <w:contextualSpacing/>
    </w:pPr>
  </w:style>
  <w:style w:type="paragraph" w:styleId="TeksBalon">
    <w:name w:val="Balloon Text"/>
    <w:basedOn w:val="Normal"/>
    <w:link w:val="TeksBalonKAR"/>
    <w:uiPriority w:val="99"/>
    <w:semiHidden/>
    <w:unhideWhenUsed/>
    <w:rsid w:val="00661866"/>
    <w:rPr>
      <w:rFonts w:ascii="Tahoma" w:hAnsi="Tahoma" w:cs="Tahoma"/>
      <w:sz w:val="16"/>
      <w:szCs w:val="16"/>
    </w:rPr>
  </w:style>
  <w:style w:type="character" w:customStyle="1" w:styleId="TeksBalonKAR">
    <w:name w:val="Teks Balon KAR"/>
    <w:basedOn w:val="FontParagrafDefault"/>
    <w:link w:val="TeksBalon"/>
    <w:uiPriority w:val="99"/>
    <w:semiHidden/>
    <w:rsid w:val="00661866"/>
    <w:rPr>
      <w:rFonts w:ascii="Tahoma" w:eastAsia="Times New Roman" w:hAnsi="Tahoma" w:cs="Tahoma"/>
      <w:sz w:val="16"/>
      <w:szCs w:val="16"/>
    </w:rPr>
  </w:style>
  <w:style w:type="character" w:styleId="ReferensiCatatanKaki">
    <w:name w:val="footnote reference"/>
    <w:basedOn w:val="FontParagrafDefault"/>
    <w:uiPriority w:val="99"/>
    <w:rsid w:val="00E51D5D"/>
    <w:rPr>
      <w:vertAlign w:val="superscript"/>
    </w:rPr>
  </w:style>
  <w:style w:type="paragraph" w:styleId="TeksCatatanKaki">
    <w:name w:val="footnote text"/>
    <w:basedOn w:val="Normal"/>
    <w:link w:val="TeksCatatanKakiKAR"/>
    <w:uiPriority w:val="99"/>
    <w:rsid w:val="00E51D5D"/>
    <w:rPr>
      <w:sz w:val="20"/>
      <w:szCs w:val="20"/>
    </w:rPr>
  </w:style>
  <w:style w:type="character" w:customStyle="1" w:styleId="TeksCatatanKakiKAR">
    <w:name w:val="Teks Catatan Kaki KAR"/>
    <w:basedOn w:val="FontParagrafDefault"/>
    <w:link w:val="TeksCatatanKaki"/>
    <w:uiPriority w:val="99"/>
    <w:rsid w:val="00E51D5D"/>
    <w:rPr>
      <w:rFonts w:ascii="Times New Roman" w:eastAsia="Times New Roman" w:hAnsi="Times New Roman" w:cs="Times New Roman"/>
      <w:sz w:val="20"/>
      <w:szCs w:val="20"/>
    </w:rPr>
  </w:style>
  <w:style w:type="paragraph" w:styleId="Header">
    <w:name w:val="header"/>
    <w:basedOn w:val="Normal"/>
    <w:link w:val="HeaderKAR"/>
    <w:uiPriority w:val="99"/>
    <w:unhideWhenUsed/>
    <w:rsid w:val="0080043F"/>
    <w:pPr>
      <w:tabs>
        <w:tab w:val="center" w:pos="4680"/>
        <w:tab w:val="right" w:pos="9360"/>
      </w:tabs>
    </w:pPr>
  </w:style>
  <w:style w:type="character" w:customStyle="1" w:styleId="HeaderKAR">
    <w:name w:val="Header KAR"/>
    <w:basedOn w:val="FontParagrafDefault"/>
    <w:link w:val="Header"/>
    <w:uiPriority w:val="99"/>
    <w:rsid w:val="0080043F"/>
    <w:rPr>
      <w:rFonts w:ascii="Times New Roman" w:eastAsia="Times New Roman" w:hAnsi="Times New Roman" w:cs="Times New Roman"/>
      <w:sz w:val="24"/>
      <w:szCs w:val="24"/>
    </w:rPr>
  </w:style>
  <w:style w:type="paragraph" w:styleId="Footer">
    <w:name w:val="footer"/>
    <w:basedOn w:val="Normal"/>
    <w:link w:val="FooterKAR"/>
    <w:uiPriority w:val="99"/>
    <w:unhideWhenUsed/>
    <w:rsid w:val="0080043F"/>
    <w:pPr>
      <w:tabs>
        <w:tab w:val="center" w:pos="4680"/>
        <w:tab w:val="right" w:pos="9360"/>
      </w:tabs>
    </w:pPr>
  </w:style>
  <w:style w:type="character" w:customStyle="1" w:styleId="FooterKAR">
    <w:name w:val="Footer KAR"/>
    <w:basedOn w:val="FontParagrafDefault"/>
    <w:link w:val="Footer"/>
    <w:uiPriority w:val="99"/>
    <w:rsid w:val="0080043F"/>
    <w:rPr>
      <w:rFonts w:ascii="Times New Roman" w:eastAsia="Times New Roman" w:hAnsi="Times New Roman" w:cs="Times New Roman"/>
      <w:sz w:val="24"/>
      <w:szCs w:val="24"/>
    </w:rPr>
  </w:style>
  <w:style w:type="paragraph" w:styleId="NormalWeb">
    <w:name w:val="Normal (Web)"/>
    <w:basedOn w:val="Normal"/>
    <w:uiPriority w:val="99"/>
    <w:unhideWhenUsed/>
    <w:qFormat/>
    <w:rsid w:val="00180F99"/>
    <w:pPr>
      <w:spacing w:before="100" w:beforeAutospacing="1" w:after="100" w:afterAutospacing="1"/>
    </w:pPr>
    <w:rPr>
      <w:rFonts w:eastAsiaTheme="minorEastAsia"/>
    </w:rPr>
  </w:style>
  <w:style w:type="table" w:styleId="KisiTabel">
    <w:name w:val="Table Grid"/>
    <w:basedOn w:val="KisiTabel6"/>
    <w:uiPriority w:val="59"/>
    <w:qFormat/>
    <w:rsid w:val="00D82F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IndenTeksIsi">
    <w:name w:val="Body Text Indent"/>
    <w:basedOn w:val="Normal"/>
    <w:link w:val="IndenTeksIsiKAR"/>
    <w:rsid w:val="00DE4979"/>
    <w:pPr>
      <w:tabs>
        <w:tab w:val="left" w:pos="432"/>
      </w:tabs>
      <w:ind w:left="432"/>
    </w:pPr>
  </w:style>
  <w:style w:type="character" w:customStyle="1" w:styleId="IndenTeksIsiKAR">
    <w:name w:val="Inden Teks Isi KAR"/>
    <w:basedOn w:val="FontParagrafDefault"/>
    <w:link w:val="IndenTeksIsi"/>
    <w:rsid w:val="00DE4979"/>
    <w:rPr>
      <w:rFonts w:ascii="Times New Roman" w:eastAsia="Times New Roman" w:hAnsi="Times New Roman" w:cs="Times New Roman"/>
      <w:sz w:val="24"/>
      <w:szCs w:val="24"/>
    </w:rPr>
  </w:style>
  <w:style w:type="table" w:styleId="BayanganCahaya-Aksen5">
    <w:name w:val="Light Shading Accent 5"/>
    <w:basedOn w:val="TabelNormal"/>
    <w:uiPriority w:val="60"/>
    <w:rsid w:val="00232A2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1">
    <w:name w:val="Light Shading1"/>
    <w:basedOn w:val="TabelNormal"/>
    <w:uiPriority w:val="60"/>
    <w:rsid w:val="00232A2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elNormal"/>
    <w:uiPriority w:val="60"/>
    <w:rsid w:val="002721E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Tempatpenampungteks">
    <w:name w:val="Placeholder Text"/>
    <w:basedOn w:val="FontParagrafDefault"/>
    <w:uiPriority w:val="99"/>
    <w:semiHidden/>
    <w:rsid w:val="00245E62"/>
    <w:rPr>
      <w:color w:val="808080"/>
    </w:rPr>
  </w:style>
  <w:style w:type="table" w:customStyle="1" w:styleId="LightList-Accent11">
    <w:name w:val="Light List - Accent 11"/>
    <w:basedOn w:val="TabelNormal"/>
    <w:uiPriority w:val="61"/>
    <w:rsid w:val="00B9076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FontParagrafDefault"/>
    <w:rsid w:val="004F240E"/>
  </w:style>
  <w:style w:type="table" w:styleId="KisiTabel6">
    <w:name w:val="Table Grid 6"/>
    <w:basedOn w:val="TabelNormal"/>
    <w:uiPriority w:val="99"/>
    <w:semiHidden/>
    <w:unhideWhenUsed/>
    <w:rsid w:val="00AD7E1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KisiTabel1">
    <w:name w:val="Table Grid 1"/>
    <w:basedOn w:val="TabelNormal"/>
    <w:uiPriority w:val="99"/>
    <w:semiHidden/>
    <w:unhideWhenUsed/>
    <w:rsid w:val="00495C2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ECVHeadingContactDetails">
    <w:name w:val="_ECV_HeadingContactDetails"/>
    <w:rsid w:val="008D0434"/>
    <w:rPr>
      <w:rFonts w:ascii="Arial" w:hAnsi="Arial"/>
      <w:color w:val="1593CB"/>
      <w:sz w:val="18"/>
      <w:szCs w:val="18"/>
      <w:shd w:val="clear" w:color="auto" w:fill="auto"/>
    </w:rPr>
  </w:style>
  <w:style w:type="character" w:customStyle="1" w:styleId="ECVContactDetails">
    <w:name w:val="_ECV_ContactDetails"/>
    <w:rsid w:val="008D0434"/>
    <w:rPr>
      <w:rFonts w:ascii="Arial" w:hAnsi="Arial"/>
      <w:color w:val="3F3A38"/>
      <w:sz w:val="18"/>
      <w:szCs w:val="18"/>
      <w:shd w:val="clear" w:color="auto" w:fill="auto"/>
    </w:rPr>
  </w:style>
  <w:style w:type="character" w:customStyle="1" w:styleId="ECVInternetLink">
    <w:name w:val="_ECV_InternetLink"/>
    <w:rsid w:val="008D0434"/>
    <w:rPr>
      <w:rFonts w:ascii="Arial" w:hAnsi="Arial"/>
      <w:color w:val="3F3A38"/>
      <w:sz w:val="18"/>
      <w:u w:val="single"/>
      <w:shd w:val="clear" w:color="auto" w:fill="auto"/>
      <w:lang w:val="en-GB"/>
    </w:rPr>
  </w:style>
  <w:style w:type="character" w:customStyle="1" w:styleId="ECVHeadingBusinessSector">
    <w:name w:val="_ECV_HeadingBusinessSector"/>
    <w:rsid w:val="008D0434"/>
    <w:rPr>
      <w:rFonts w:ascii="Arial" w:hAnsi="Arial"/>
      <w:color w:val="1593CB"/>
      <w:spacing w:val="-6"/>
      <w:sz w:val="18"/>
      <w:szCs w:val="18"/>
      <w:shd w:val="clear" w:color="auto" w:fill="auto"/>
    </w:rPr>
  </w:style>
  <w:style w:type="paragraph" w:customStyle="1" w:styleId="ECVLeftHeading">
    <w:name w:val="_ECV_LeftHeading"/>
    <w:basedOn w:val="Normal"/>
    <w:rsid w:val="008D0434"/>
    <w:pPr>
      <w:widowControl w:val="0"/>
      <w:suppressLineNumbers/>
      <w:suppressAutoHyphens/>
      <w:ind w:right="283"/>
      <w:jc w:val="right"/>
    </w:pPr>
    <w:rPr>
      <w:rFonts w:ascii="Arial" w:eastAsia="SimSun" w:hAnsi="Arial" w:cs="Mangal"/>
      <w:caps/>
      <w:color w:val="0E4194"/>
      <w:spacing w:val="-6"/>
      <w:kern w:val="1"/>
      <w:sz w:val="18"/>
      <w:lang w:val="en-GB" w:eastAsia="zh-CN" w:bidi="hi-IN"/>
    </w:rPr>
  </w:style>
  <w:style w:type="paragraph" w:customStyle="1" w:styleId="ECVRightColumn">
    <w:name w:val="_ECV_RightColumn"/>
    <w:basedOn w:val="Normal"/>
    <w:rsid w:val="008D0434"/>
    <w:pPr>
      <w:widowControl w:val="0"/>
      <w:suppressLineNumbers/>
      <w:suppressAutoHyphens/>
      <w:spacing w:before="62"/>
    </w:pPr>
    <w:rPr>
      <w:rFonts w:ascii="Arial" w:eastAsia="SimSun" w:hAnsi="Arial" w:cs="Mangal"/>
      <w:color w:val="404040"/>
      <w:spacing w:val="-6"/>
      <w:kern w:val="1"/>
      <w:sz w:val="16"/>
      <w:lang w:val="en-GB" w:eastAsia="zh-CN" w:bidi="hi-IN"/>
    </w:rPr>
  </w:style>
  <w:style w:type="paragraph" w:customStyle="1" w:styleId="ECVNameField">
    <w:name w:val="_ECV_NameField"/>
    <w:basedOn w:val="ECVRightColumn"/>
    <w:rsid w:val="008D0434"/>
    <w:pPr>
      <w:spacing w:before="0" w:line="100" w:lineRule="atLeast"/>
    </w:pPr>
    <w:rPr>
      <w:color w:val="3F3A38"/>
      <w:sz w:val="26"/>
      <w:szCs w:val="18"/>
    </w:rPr>
  </w:style>
  <w:style w:type="paragraph" w:customStyle="1" w:styleId="ECVRightHeading">
    <w:name w:val="_ECV_RightHeading"/>
    <w:basedOn w:val="ECVNameField"/>
    <w:rsid w:val="008D0434"/>
    <w:pPr>
      <w:spacing w:before="62"/>
      <w:jc w:val="right"/>
    </w:pPr>
    <w:rPr>
      <w:color w:val="1593CB"/>
      <w:sz w:val="15"/>
    </w:rPr>
  </w:style>
  <w:style w:type="paragraph" w:customStyle="1" w:styleId="ECVContactDetails1">
    <w:name w:val="_ECV_ContactDetails1"/>
    <w:basedOn w:val="ECVNameField"/>
    <w:rsid w:val="008D0434"/>
    <w:pPr>
      <w:textAlignment w:val="center"/>
    </w:pPr>
    <w:rPr>
      <w:kern w:val="0"/>
      <w:sz w:val="18"/>
    </w:rPr>
  </w:style>
  <w:style w:type="paragraph" w:customStyle="1" w:styleId="ECVComments">
    <w:name w:val="_ECV_Comments"/>
    <w:basedOn w:val="ECVText"/>
    <w:rsid w:val="008D0434"/>
    <w:pPr>
      <w:jc w:val="center"/>
    </w:pPr>
    <w:rPr>
      <w:color w:val="FF0000"/>
    </w:rPr>
  </w:style>
  <w:style w:type="paragraph" w:customStyle="1" w:styleId="ECVSubSectionHeading">
    <w:name w:val="_ECV_SubSectionHeading"/>
    <w:basedOn w:val="ECVRightColumn"/>
    <w:rsid w:val="008D0434"/>
    <w:pPr>
      <w:spacing w:before="0" w:line="100" w:lineRule="atLeast"/>
    </w:pPr>
    <w:rPr>
      <w:color w:val="0E4194"/>
      <w:sz w:val="22"/>
    </w:rPr>
  </w:style>
  <w:style w:type="paragraph" w:customStyle="1" w:styleId="ECVOrganisationDetails">
    <w:name w:val="_ECV_OrganisationDetails"/>
    <w:basedOn w:val="ECVRightColumn"/>
    <w:rsid w:val="008D0434"/>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8D0434"/>
    <w:pPr>
      <w:widowControl w:val="0"/>
      <w:suppressLineNumbers/>
      <w:suppressAutoHyphens/>
      <w:autoSpaceDE w:val="0"/>
      <w:spacing w:before="28" w:line="100" w:lineRule="atLeast"/>
    </w:pPr>
    <w:rPr>
      <w:rFonts w:ascii="Arial" w:eastAsia="SimSun" w:hAnsi="Arial" w:cs="Mangal"/>
      <w:color w:val="3F3A38"/>
      <w:spacing w:val="-6"/>
      <w:kern w:val="1"/>
      <w:sz w:val="18"/>
      <w:lang w:val="en-GB" w:eastAsia="zh-CN" w:bidi="hi-IN"/>
    </w:rPr>
  </w:style>
  <w:style w:type="paragraph" w:customStyle="1" w:styleId="ECVSectionBullet">
    <w:name w:val="_ECV_SectionBullet"/>
    <w:basedOn w:val="ECVSectionDetails"/>
    <w:rsid w:val="008D0434"/>
    <w:pPr>
      <w:spacing w:before="0"/>
    </w:pPr>
  </w:style>
  <w:style w:type="paragraph" w:customStyle="1" w:styleId="ECVDate">
    <w:name w:val="_ECV_Date"/>
    <w:basedOn w:val="ECVLeftHeading"/>
    <w:rsid w:val="008D0434"/>
    <w:pPr>
      <w:spacing w:before="28" w:line="100" w:lineRule="atLeast"/>
      <w:textAlignment w:val="top"/>
    </w:pPr>
    <w:rPr>
      <w:caps w:val="0"/>
    </w:rPr>
  </w:style>
  <w:style w:type="paragraph" w:customStyle="1" w:styleId="ECVLeftDetails">
    <w:name w:val="_ECV_LeftDetails"/>
    <w:basedOn w:val="ECVLeftHeading"/>
    <w:rsid w:val="008D0434"/>
    <w:pPr>
      <w:spacing w:before="23"/>
    </w:pPr>
    <w:rPr>
      <w:caps w:val="0"/>
    </w:rPr>
  </w:style>
  <w:style w:type="paragraph" w:customStyle="1" w:styleId="ECVLanguageHeading">
    <w:name w:val="_ECV_LanguageHeading"/>
    <w:basedOn w:val="ECVRightColumn"/>
    <w:rsid w:val="008D0434"/>
    <w:pPr>
      <w:spacing w:before="0"/>
      <w:jc w:val="center"/>
    </w:pPr>
    <w:rPr>
      <w:caps/>
      <w:color w:val="0E4194"/>
      <w:sz w:val="14"/>
    </w:rPr>
  </w:style>
  <w:style w:type="paragraph" w:customStyle="1" w:styleId="ECVLanguageSubHeading">
    <w:name w:val="_ECV_LanguageSubHeading"/>
    <w:basedOn w:val="ECVLanguageHeading"/>
    <w:rsid w:val="008D0434"/>
    <w:pPr>
      <w:spacing w:line="100" w:lineRule="atLeast"/>
    </w:pPr>
    <w:rPr>
      <w:caps w:val="0"/>
      <w:sz w:val="16"/>
    </w:rPr>
  </w:style>
  <w:style w:type="paragraph" w:customStyle="1" w:styleId="ECVLanguageLevel">
    <w:name w:val="_ECV_LanguageLevel"/>
    <w:basedOn w:val="ECVSectionDetails"/>
    <w:rsid w:val="008D0434"/>
    <w:pPr>
      <w:jc w:val="center"/>
      <w:textAlignment w:val="center"/>
    </w:pPr>
    <w:rPr>
      <w:caps/>
    </w:rPr>
  </w:style>
  <w:style w:type="paragraph" w:customStyle="1" w:styleId="ECVLanguageCertificate">
    <w:name w:val="_ECV_LanguageCertificate"/>
    <w:basedOn w:val="ECVRightColumn"/>
    <w:rsid w:val="008D0434"/>
    <w:pPr>
      <w:spacing w:before="0" w:line="100" w:lineRule="atLeast"/>
      <w:ind w:right="283"/>
      <w:jc w:val="center"/>
    </w:pPr>
    <w:rPr>
      <w:color w:val="3F3A38"/>
    </w:rPr>
  </w:style>
  <w:style w:type="paragraph" w:customStyle="1" w:styleId="ECVLanguageExplanation">
    <w:name w:val="_ECV_LanguageExplanation"/>
    <w:basedOn w:val="Normal"/>
    <w:rsid w:val="008D0434"/>
    <w:pPr>
      <w:widowControl w:val="0"/>
      <w:suppressAutoHyphens/>
      <w:autoSpaceDE w:val="0"/>
      <w:spacing w:line="100" w:lineRule="atLeast"/>
    </w:pPr>
    <w:rPr>
      <w:rFonts w:ascii="Arial" w:eastAsia="SimSun" w:hAnsi="Arial" w:cs="Mangal"/>
      <w:color w:val="0E4194"/>
      <w:spacing w:val="-6"/>
      <w:kern w:val="1"/>
      <w:sz w:val="15"/>
      <w:lang w:val="en-GB" w:eastAsia="zh-CN" w:bidi="hi-IN"/>
    </w:rPr>
  </w:style>
  <w:style w:type="paragraph" w:customStyle="1" w:styleId="ECVText">
    <w:name w:val="_ECV_Text"/>
    <w:basedOn w:val="TeksIsi"/>
    <w:rsid w:val="008D0434"/>
    <w:pPr>
      <w:widowControl w:val="0"/>
      <w:suppressAutoHyphens/>
      <w:spacing w:after="0" w:line="100" w:lineRule="atLeast"/>
    </w:pPr>
    <w:rPr>
      <w:rFonts w:ascii="Arial" w:eastAsia="SimSun" w:hAnsi="Arial" w:cs="Mangal"/>
      <w:color w:val="3F3A38"/>
      <w:spacing w:val="-6"/>
      <w:kern w:val="1"/>
      <w:sz w:val="16"/>
      <w:lang w:val="en-GB" w:eastAsia="zh-CN" w:bidi="hi-IN"/>
    </w:rPr>
  </w:style>
  <w:style w:type="paragraph" w:customStyle="1" w:styleId="ECVLanguageName">
    <w:name w:val="_ECV_LanguageName"/>
    <w:basedOn w:val="ECVLanguageCertificate"/>
    <w:rsid w:val="008D0434"/>
    <w:pPr>
      <w:jc w:val="right"/>
    </w:pPr>
    <w:rPr>
      <w:sz w:val="18"/>
    </w:rPr>
  </w:style>
  <w:style w:type="paragraph" w:customStyle="1" w:styleId="ECVPersonalInfoHeading">
    <w:name w:val="_ECV_PersonalInfoHeading"/>
    <w:basedOn w:val="ECVLeftHeading"/>
    <w:rsid w:val="008D0434"/>
    <w:pPr>
      <w:spacing w:before="57"/>
    </w:pPr>
  </w:style>
  <w:style w:type="paragraph" w:customStyle="1" w:styleId="ECVGenderRow">
    <w:name w:val="_ECV_GenderRow"/>
    <w:basedOn w:val="Normal"/>
    <w:rsid w:val="008D0434"/>
    <w:pPr>
      <w:widowControl w:val="0"/>
      <w:suppressAutoHyphens/>
      <w:spacing w:before="85"/>
    </w:pPr>
    <w:rPr>
      <w:rFonts w:ascii="Arial" w:eastAsia="SimSun" w:hAnsi="Arial" w:cs="Mangal"/>
      <w:color w:val="1593CB"/>
      <w:spacing w:val="-6"/>
      <w:kern w:val="1"/>
      <w:sz w:val="16"/>
      <w:lang w:val="en-GB" w:eastAsia="zh-CN" w:bidi="hi-IN"/>
    </w:rPr>
  </w:style>
  <w:style w:type="paragraph" w:customStyle="1" w:styleId="ECVBusinessSectorRow">
    <w:name w:val="_ECV_BusinessSectorRow"/>
    <w:basedOn w:val="Normal"/>
    <w:rsid w:val="008D0434"/>
    <w:pPr>
      <w:widowControl w:val="0"/>
      <w:suppressAutoHyphens/>
    </w:pPr>
    <w:rPr>
      <w:rFonts w:ascii="Arial" w:eastAsia="SimSun" w:hAnsi="Arial" w:cs="Mangal"/>
      <w:color w:val="3F3A38"/>
      <w:spacing w:val="-6"/>
      <w:kern w:val="1"/>
      <w:sz w:val="16"/>
      <w:lang w:val="en-GB" w:eastAsia="zh-CN" w:bidi="hi-IN"/>
    </w:rPr>
  </w:style>
  <w:style w:type="paragraph" w:customStyle="1" w:styleId="ECVBlueBox">
    <w:name w:val="_ECV_BlueBox"/>
    <w:basedOn w:val="Normal"/>
    <w:rsid w:val="008D0434"/>
    <w:pPr>
      <w:widowControl w:val="0"/>
      <w:suppressLineNumbers/>
      <w:suppressAutoHyphens/>
      <w:jc w:val="right"/>
      <w:textAlignment w:val="bottom"/>
    </w:pPr>
    <w:rPr>
      <w:rFonts w:ascii="Arial" w:eastAsia="SimSun" w:hAnsi="Arial" w:cs="Mangal"/>
      <w:color w:val="402C24"/>
      <w:kern w:val="1"/>
      <w:sz w:val="8"/>
      <w:szCs w:val="10"/>
      <w:lang w:val="en-GB" w:eastAsia="zh-CN" w:bidi="hi-IN"/>
    </w:rPr>
  </w:style>
  <w:style w:type="paragraph" w:styleId="TeksIsi">
    <w:name w:val="Body Text"/>
    <w:basedOn w:val="Normal"/>
    <w:link w:val="TeksIsiKAR"/>
    <w:uiPriority w:val="99"/>
    <w:semiHidden/>
    <w:unhideWhenUsed/>
    <w:rsid w:val="008D0434"/>
    <w:pPr>
      <w:spacing w:after="120"/>
    </w:pPr>
  </w:style>
  <w:style w:type="character" w:customStyle="1" w:styleId="TeksIsiKAR">
    <w:name w:val="Teks Isi KAR"/>
    <w:basedOn w:val="FontParagrafDefault"/>
    <w:link w:val="TeksIsi"/>
    <w:uiPriority w:val="99"/>
    <w:semiHidden/>
    <w:rsid w:val="008D0434"/>
    <w:rPr>
      <w:rFonts w:ascii="Times New Roman" w:eastAsia="Times New Roman" w:hAnsi="Times New Roman" w:cs="Times New Roman"/>
      <w:sz w:val="24"/>
      <w:szCs w:val="24"/>
    </w:rPr>
  </w:style>
  <w:style w:type="paragraph" w:styleId="TidakAdaSpasi">
    <w:name w:val="No Spacing"/>
    <w:uiPriority w:val="1"/>
    <w:qFormat/>
    <w:rsid w:val="00EE59E8"/>
  </w:style>
  <w:style w:type="character" w:customStyle="1" w:styleId="longtext">
    <w:name w:val="long_text"/>
    <w:basedOn w:val="FontParagrafDefault"/>
    <w:rsid w:val="00443852"/>
  </w:style>
  <w:style w:type="character" w:customStyle="1" w:styleId="Judul2KAR">
    <w:name w:val="Judul 2 KAR"/>
    <w:basedOn w:val="FontParagrafDefault"/>
    <w:link w:val="Judul2"/>
    <w:uiPriority w:val="9"/>
    <w:rsid w:val="00327011"/>
    <w:rPr>
      <w:rFonts w:asciiTheme="majorHAnsi" w:eastAsiaTheme="majorEastAsia" w:hAnsiTheme="majorHAnsi" w:cstheme="majorBidi"/>
      <w:color w:val="365F91" w:themeColor="accent1" w:themeShade="BF"/>
      <w:sz w:val="26"/>
      <w:szCs w:val="26"/>
      <w:lang w:val="en-ID"/>
    </w:rPr>
  </w:style>
  <w:style w:type="character" w:customStyle="1" w:styleId="fontstyle01">
    <w:name w:val="fontstyle01"/>
    <w:basedOn w:val="FontParagrafDefault"/>
    <w:rsid w:val="00350C44"/>
    <w:rPr>
      <w:rFonts w:ascii="AdvOT7fb33346.I" w:hAnsi="AdvOT7fb33346.I" w:hint="default"/>
      <w:b w:val="0"/>
      <w:bCs w:val="0"/>
      <w:i w:val="0"/>
      <w:iCs w:val="0"/>
      <w:color w:val="000000"/>
      <w:sz w:val="14"/>
      <w:szCs w:val="14"/>
    </w:rPr>
  </w:style>
  <w:style w:type="character" w:customStyle="1" w:styleId="fontstyle21">
    <w:name w:val="fontstyle21"/>
    <w:basedOn w:val="FontParagrafDefault"/>
    <w:rsid w:val="00350C44"/>
    <w:rPr>
      <w:rFonts w:ascii="AdvOT7fb33346.I+fb" w:hAnsi="AdvOT7fb33346.I+fb" w:hint="default"/>
      <w:b w:val="0"/>
      <w:bCs w:val="0"/>
      <w:i w:val="0"/>
      <w:iCs w:val="0"/>
      <w:color w:val="000000"/>
      <w:sz w:val="14"/>
      <w:szCs w:val="14"/>
    </w:rPr>
  </w:style>
  <w:style w:type="character" w:customStyle="1" w:styleId="fontstyle31">
    <w:name w:val="fontstyle31"/>
    <w:basedOn w:val="FontParagrafDefault"/>
    <w:rsid w:val="00350C44"/>
    <w:rPr>
      <w:rFonts w:ascii="AdvOT596495f2" w:hAnsi="AdvOT596495f2" w:hint="default"/>
      <w:b w:val="0"/>
      <w:bCs w:val="0"/>
      <w:i w:val="0"/>
      <w:iCs w:val="0"/>
      <w:color w:val="000000"/>
      <w:sz w:val="14"/>
      <w:szCs w:val="14"/>
    </w:rPr>
  </w:style>
  <w:style w:type="character" w:customStyle="1" w:styleId="fontstyle41">
    <w:name w:val="fontstyle41"/>
    <w:basedOn w:val="FontParagrafDefault"/>
    <w:rsid w:val="00350C44"/>
    <w:rPr>
      <w:rFonts w:ascii="CharisSIL-Identity-H" w:hAnsi="CharisSIL-Identity-H" w:hint="default"/>
      <w:b w:val="0"/>
      <w:bCs w:val="0"/>
      <w:i w:val="0"/>
      <w:iCs w:val="0"/>
      <w:color w:val="007FAB"/>
      <w:sz w:val="14"/>
      <w:szCs w:val="14"/>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115" w:type="dxa"/>
        <w:right w:w="115" w:type="dxa"/>
      </w:tblCellMar>
    </w:tblPr>
  </w:style>
  <w:style w:type="character" w:customStyle="1" w:styleId="citation-21">
    <w:name w:val="citation-21"/>
    <w:basedOn w:val="FontParagrafDefault"/>
    <w:rsid w:val="002D5427"/>
  </w:style>
  <w:style w:type="character" w:customStyle="1" w:styleId="citation-20">
    <w:name w:val="citation-20"/>
    <w:basedOn w:val="FontParagrafDefault"/>
    <w:rsid w:val="002D5427"/>
  </w:style>
  <w:style w:type="character" w:customStyle="1" w:styleId="citation-19">
    <w:name w:val="citation-19"/>
    <w:basedOn w:val="FontParagrafDefault"/>
    <w:rsid w:val="002D5427"/>
  </w:style>
  <w:style w:type="character" w:customStyle="1" w:styleId="citation-18">
    <w:name w:val="citation-18"/>
    <w:basedOn w:val="FontParagrafDefault"/>
    <w:rsid w:val="002D5427"/>
  </w:style>
  <w:style w:type="character" w:customStyle="1" w:styleId="citation-17">
    <w:name w:val="citation-17"/>
    <w:basedOn w:val="FontParagrafDefault"/>
    <w:rsid w:val="002D5427"/>
  </w:style>
  <w:style w:type="character" w:customStyle="1" w:styleId="citation-16">
    <w:name w:val="citation-16"/>
    <w:basedOn w:val="FontParagrafDefault"/>
    <w:rsid w:val="002D5427"/>
  </w:style>
  <w:style w:type="character" w:customStyle="1" w:styleId="citation-15">
    <w:name w:val="citation-15"/>
    <w:basedOn w:val="FontParagrafDefault"/>
    <w:rsid w:val="002D5427"/>
  </w:style>
  <w:style w:type="character" w:customStyle="1" w:styleId="citation-14">
    <w:name w:val="citation-14"/>
    <w:basedOn w:val="FontParagrafDefault"/>
    <w:rsid w:val="002D5427"/>
  </w:style>
  <w:style w:type="character" w:customStyle="1" w:styleId="citation-13">
    <w:name w:val="citation-13"/>
    <w:basedOn w:val="FontParagrafDefault"/>
    <w:rsid w:val="002D5427"/>
  </w:style>
  <w:style w:type="character" w:customStyle="1" w:styleId="citation-12">
    <w:name w:val="citation-12"/>
    <w:basedOn w:val="FontParagrafDefault"/>
    <w:rsid w:val="002D5427"/>
  </w:style>
  <w:style w:type="paragraph" w:styleId="Bibliografi">
    <w:name w:val="Bibliography"/>
    <w:basedOn w:val="Normal"/>
    <w:next w:val="Normal"/>
    <w:uiPriority w:val="37"/>
    <w:semiHidden/>
    <w:unhideWhenUsed/>
    <w:rsid w:val="00B86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ECCzFiziGLFJaCUVnPPS0jm3IA==">AMUW2mUQSikg4v7alhFL+fA1rN2OoF0YXjJiYkYD95bhdU2hgV4VUTMt1gzQ0V2xcesWyeAAszO7dQzpdwiyLnpCOJ5GQmx9z9whW3OcEPoQk1gaT8AaTbdOieZuWYVNYwVz9p/zyJlM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18</Pages>
  <Words>16442</Words>
  <Characters>93723</Characters>
  <Application>Microsoft Office Word</Application>
  <DocSecurity>0</DocSecurity>
  <Lines>781</Lines>
  <Paragraphs>219</Paragraphs>
  <ScaleCrop>false</ScaleCrop>
  <Company/>
  <LinksUpToDate>false</LinksUpToDate>
  <CharactersWithSpaces>109946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angga pradana</cp:lastModifiedBy>
  <cp:revision>3</cp:revision>
  <dcterms:created xsi:type="dcterms:W3CDTF">2021-10-18T10:17:00Z</dcterms:created>
  <dcterms:modified xsi:type="dcterms:W3CDTF">2026-05-05T09:33:00Z</dcterms:modified>
</cp:coreProperties>
</file>